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58E4" w14:textId="6A900E73" w:rsidR="004D5090" w:rsidRDefault="004D5090">
      <w:pPr>
        <w:pStyle w:val="BodyText"/>
        <w:spacing w:before="2" w:after="1"/>
        <w:rPr>
          <w:sz w:val="21"/>
        </w:rPr>
      </w:pPr>
    </w:p>
    <w:p w14:paraId="1F58F4E0" w14:textId="77777777" w:rsidR="004D5090" w:rsidRDefault="0056777C">
      <w:pPr>
        <w:tabs>
          <w:tab w:val="left" w:pos="3391"/>
          <w:tab w:val="left" w:pos="6371"/>
        </w:tabs>
        <w:ind w:left="301"/>
        <w:rPr>
          <w:sz w:val="20"/>
        </w:rPr>
      </w:pPr>
      <w:r>
        <w:rPr>
          <w:position w:val="113"/>
          <w:sz w:val="20"/>
        </w:rPr>
      </w:r>
      <w:r>
        <w:rPr>
          <w:position w:val="113"/>
          <w:sz w:val="20"/>
        </w:rPr>
        <w:pict w14:anchorId="1BAF1E43">
          <v:group id="_x0000_s1028" style="width:140.75pt;height:.5pt;mso-position-horizontal-relative:char;mso-position-vertical-relative:line" coordsize="2815,10">
            <v:shape id="_x0000_s1029" style="position:absolute;top:5;width:2815;height:2" coordorigin=",5" coordsize="2815,0" o:spt="100" adj="0,,0" path="m,5r2815,m,5r2815,e" filled="f" strokeweight=".5pt">
              <v:stroke joinstyle="round"/>
              <v:formulas/>
              <v:path arrowok="t" o:connecttype="segments"/>
            </v:shape>
            <w10:anchorlock/>
          </v:group>
        </w:pict>
      </w:r>
      <w:r w:rsidR="008F6876">
        <w:rPr>
          <w:position w:val="113"/>
          <w:sz w:val="20"/>
        </w:rPr>
        <w:tab/>
      </w:r>
      <w:r w:rsidR="008F6876">
        <w:rPr>
          <w:noProof/>
          <w:sz w:val="20"/>
        </w:rPr>
        <w:drawing>
          <wp:inline distT="0" distB="0" distL="0" distR="0" wp14:anchorId="2828A71D" wp14:editId="3A9FD4E8">
            <wp:extent cx="1762952" cy="94811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62952" cy="948118"/>
                    </a:xfrm>
                    <a:prstGeom prst="rect">
                      <a:avLst/>
                    </a:prstGeom>
                  </pic:spPr>
                </pic:pic>
              </a:graphicData>
            </a:graphic>
          </wp:inline>
        </w:drawing>
      </w:r>
      <w:r w:rsidR="008F6876">
        <w:rPr>
          <w:sz w:val="20"/>
        </w:rPr>
        <w:tab/>
      </w:r>
      <w:r>
        <w:rPr>
          <w:position w:val="112"/>
          <w:sz w:val="20"/>
        </w:rPr>
      </w:r>
      <w:r>
        <w:rPr>
          <w:position w:val="112"/>
          <w:sz w:val="20"/>
        </w:rPr>
        <w:pict w14:anchorId="41547F9B">
          <v:group id="_x0000_s1026" style="width:140.75pt;height:.5pt;mso-position-horizontal-relative:char;mso-position-vertical-relative:line" coordsize="2815,10">
            <v:shape id="_x0000_s1027" style="position:absolute;top:5;width:2815;height:2" coordorigin=",5" coordsize="2815,0" o:spt="100" adj="0,,0" path="m,5r2815,m,5r2815,e" filled="f" strokeweight=".5pt">
              <v:stroke joinstyle="round"/>
              <v:formulas/>
              <v:path arrowok="t" o:connecttype="segments"/>
            </v:shape>
            <w10:anchorlock/>
          </v:group>
        </w:pict>
      </w:r>
    </w:p>
    <w:p w14:paraId="32B70B3E" w14:textId="77777777" w:rsidR="004D5090" w:rsidRDefault="004D5090">
      <w:pPr>
        <w:pStyle w:val="BodyText"/>
        <w:rPr>
          <w:sz w:val="20"/>
        </w:rPr>
      </w:pPr>
    </w:p>
    <w:p w14:paraId="33372982" w14:textId="77777777" w:rsidR="004D5090" w:rsidRDefault="004D5090">
      <w:pPr>
        <w:pStyle w:val="BodyText"/>
        <w:rPr>
          <w:sz w:val="20"/>
        </w:rPr>
      </w:pPr>
    </w:p>
    <w:p w14:paraId="66402DDA" w14:textId="77777777" w:rsidR="004D5090" w:rsidRDefault="004D5090">
      <w:pPr>
        <w:pStyle w:val="BodyText"/>
        <w:rPr>
          <w:sz w:val="20"/>
        </w:rPr>
      </w:pPr>
    </w:p>
    <w:p w14:paraId="472BE4ED" w14:textId="77777777" w:rsidR="004D5090" w:rsidRDefault="004D5090">
      <w:pPr>
        <w:pStyle w:val="BodyText"/>
        <w:spacing w:before="8"/>
        <w:rPr>
          <w:sz w:val="22"/>
        </w:rPr>
      </w:pPr>
    </w:p>
    <w:p w14:paraId="79FA450A" w14:textId="77777777" w:rsidR="004D5090" w:rsidRDefault="008F6876">
      <w:pPr>
        <w:pStyle w:val="Title"/>
        <w:spacing w:line="216" w:lineRule="auto"/>
      </w:pPr>
      <w:r>
        <w:t>CONSOLIDATED MAIL OUTPATIENT PHARMACY (CMOP)</w:t>
      </w:r>
    </w:p>
    <w:p w14:paraId="113794E2" w14:textId="77777777" w:rsidR="004D5090" w:rsidRDefault="008F6876">
      <w:pPr>
        <w:spacing w:before="617"/>
        <w:ind w:right="218"/>
        <w:jc w:val="center"/>
        <w:rPr>
          <w:rFonts w:ascii="Arial"/>
          <w:b/>
          <w:sz w:val="48"/>
        </w:rPr>
      </w:pPr>
      <w:r>
        <w:rPr>
          <w:rFonts w:ascii="Arial"/>
          <w:b/>
          <w:sz w:val="48"/>
        </w:rPr>
        <w:t>TECHNICAL MANUAL</w:t>
      </w:r>
    </w:p>
    <w:p w14:paraId="1C576C82" w14:textId="77777777" w:rsidR="004D5090" w:rsidRDefault="008F6876">
      <w:pPr>
        <w:spacing w:before="454" w:line="394" w:lineRule="exact"/>
        <w:ind w:right="220"/>
        <w:jc w:val="center"/>
        <w:rPr>
          <w:rFonts w:ascii="Arial"/>
          <w:sz w:val="36"/>
        </w:rPr>
      </w:pPr>
      <w:r>
        <w:rPr>
          <w:rFonts w:ascii="Arial"/>
          <w:sz w:val="36"/>
        </w:rPr>
        <w:t>Version 2.0</w:t>
      </w:r>
    </w:p>
    <w:p w14:paraId="60EA78DD" w14:textId="77777777" w:rsidR="004D5090" w:rsidRDefault="008F6876">
      <w:pPr>
        <w:spacing w:line="394" w:lineRule="exact"/>
        <w:ind w:right="220"/>
        <w:jc w:val="center"/>
        <w:rPr>
          <w:rFonts w:ascii="Arial"/>
          <w:sz w:val="36"/>
        </w:rPr>
      </w:pPr>
      <w:r>
        <w:rPr>
          <w:rFonts w:ascii="Arial"/>
          <w:sz w:val="36"/>
        </w:rPr>
        <w:t>April 1997</w:t>
      </w:r>
    </w:p>
    <w:p w14:paraId="1E2B949F" w14:textId="77777777" w:rsidR="004D5090" w:rsidRDefault="008F6876">
      <w:pPr>
        <w:pStyle w:val="BodyText"/>
        <w:spacing w:before="341"/>
        <w:ind w:right="214"/>
        <w:jc w:val="center"/>
        <w:rPr>
          <w:rFonts w:ascii="Arial"/>
        </w:rPr>
      </w:pPr>
      <w:r>
        <w:rPr>
          <w:rFonts w:ascii="Arial"/>
        </w:rPr>
        <w:t>(Revised December 2010)</w:t>
      </w:r>
    </w:p>
    <w:p w14:paraId="08F1658A" w14:textId="77777777" w:rsidR="004D5090" w:rsidRDefault="004D5090">
      <w:pPr>
        <w:pStyle w:val="BodyText"/>
        <w:rPr>
          <w:rFonts w:ascii="Arial"/>
          <w:sz w:val="26"/>
        </w:rPr>
      </w:pPr>
    </w:p>
    <w:p w14:paraId="2FD12771" w14:textId="77777777" w:rsidR="004D5090" w:rsidRDefault="004D5090">
      <w:pPr>
        <w:pStyle w:val="BodyText"/>
        <w:rPr>
          <w:rFonts w:ascii="Arial"/>
          <w:sz w:val="26"/>
        </w:rPr>
      </w:pPr>
    </w:p>
    <w:p w14:paraId="05E2D865" w14:textId="77777777" w:rsidR="004D5090" w:rsidRDefault="004D5090">
      <w:pPr>
        <w:pStyle w:val="BodyText"/>
        <w:rPr>
          <w:rFonts w:ascii="Arial"/>
          <w:sz w:val="26"/>
        </w:rPr>
      </w:pPr>
    </w:p>
    <w:p w14:paraId="6A9452F6" w14:textId="77777777" w:rsidR="004D5090" w:rsidRDefault="004D5090">
      <w:pPr>
        <w:pStyle w:val="BodyText"/>
        <w:rPr>
          <w:rFonts w:ascii="Arial"/>
          <w:sz w:val="26"/>
        </w:rPr>
      </w:pPr>
    </w:p>
    <w:p w14:paraId="573F9104" w14:textId="77777777" w:rsidR="004D5090" w:rsidRDefault="004D5090">
      <w:pPr>
        <w:pStyle w:val="BodyText"/>
        <w:rPr>
          <w:rFonts w:ascii="Arial"/>
          <w:sz w:val="26"/>
        </w:rPr>
      </w:pPr>
    </w:p>
    <w:p w14:paraId="3CAB24A3" w14:textId="77777777" w:rsidR="004D5090" w:rsidRDefault="004D5090">
      <w:pPr>
        <w:pStyle w:val="BodyText"/>
        <w:rPr>
          <w:rFonts w:ascii="Arial"/>
          <w:sz w:val="26"/>
        </w:rPr>
      </w:pPr>
    </w:p>
    <w:p w14:paraId="0CA9676C" w14:textId="77777777" w:rsidR="004D5090" w:rsidRDefault="004D5090">
      <w:pPr>
        <w:pStyle w:val="BodyText"/>
        <w:rPr>
          <w:rFonts w:ascii="Arial"/>
          <w:sz w:val="26"/>
        </w:rPr>
      </w:pPr>
    </w:p>
    <w:p w14:paraId="59F1446B" w14:textId="77777777" w:rsidR="004D5090" w:rsidRDefault="004D5090">
      <w:pPr>
        <w:pStyle w:val="BodyText"/>
        <w:rPr>
          <w:rFonts w:ascii="Arial"/>
          <w:sz w:val="26"/>
        </w:rPr>
      </w:pPr>
    </w:p>
    <w:p w14:paraId="17DAA0D4" w14:textId="77777777" w:rsidR="004D5090" w:rsidRDefault="004D5090">
      <w:pPr>
        <w:pStyle w:val="BodyText"/>
        <w:rPr>
          <w:rFonts w:ascii="Arial"/>
          <w:sz w:val="26"/>
        </w:rPr>
      </w:pPr>
    </w:p>
    <w:p w14:paraId="3958A455" w14:textId="77777777" w:rsidR="004D5090" w:rsidRDefault="004D5090">
      <w:pPr>
        <w:pStyle w:val="BodyText"/>
        <w:rPr>
          <w:rFonts w:ascii="Arial"/>
          <w:sz w:val="26"/>
        </w:rPr>
      </w:pPr>
    </w:p>
    <w:p w14:paraId="18A51704" w14:textId="77777777" w:rsidR="004D5090" w:rsidRDefault="004D5090">
      <w:pPr>
        <w:pStyle w:val="BodyText"/>
        <w:rPr>
          <w:rFonts w:ascii="Arial"/>
          <w:sz w:val="26"/>
        </w:rPr>
      </w:pPr>
    </w:p>
    <w:p w14:paraId="1070A888" w14:textId="77777777" w:rsidR="004D5090" w:rsidRDefault="004D5090">
      <w:pPr>
        <w:pStyle w:val="BodyText"/>
        <w:rPr>
          <w:rFonts w:ascii="Arial"/>
          <w:sz w:val="26"/>
        </w:rPr>
      </w:pPr>
    </w:p>
    <w:p w14:paraId="4CFE2619" w14:textId="77777777" w:rsidR="004D5090" w:rsidRDefault="004D5090">
      <w:pPr>
        <w:pStyle w:val="BodyText"/>
        <w:rPr>
          <w:rFonts w:ascii="Arial"/>
          <w:sz w:val="26"/>
        </w:rPr>
      </w:pPr>
    </w:p>
    <w:p w14:paraId="4D086BDE" w14:textId="77777777" w:rsidR="004D5090" w:rsidRDefault="004D5090">
      <w:pPr>
        <w:pStyle w:val="BodyText"/>
        <w:rPr>
          <w:rFonts w:ascii="Arial"/>
          <w:sz w:val="26"/>
        </w:rPr>
      </w:pPr>
    </w:p>
    <w:p w14:paraId="571EF4DF" w14:textId="77777777" w:rsidR="004D5090" w:rsidRDefault="004D5090">
      <w:pPr>
        <w:pStyle w:val="BodyText"/>
        <w:spacing w:before="4"/>
        <w:rPr>
          <w:rFonts w:ascii="Arial"/>
        </w:rPr>
      </w:pPr>
    </w:p>
    <w:p w14:paraId="59A4E4F4" w14:textId="77777777" w:rsidR="004D5090" w:rsidRDefault="008F6876">
      <w:pPr>
        <w:pStyle w:val="BodyText"/>
        <w:tabs>
          <w:tab w:val="left" w:pos="3041"/>
          <w:tab w:val="left" w:pos="9665"/>
        </w:tabs>
        <w:spacing w:line="216" w:lineRule="auto"/>
        <w:ind w:left="2366" w:right="112" w:hanging="2266"/>
        <w:rPr>
          <w:rFonts w:ascii="Arial"/>
        </w:rPr>
      </w:pPr>
      <w:r>
        <w:rPr>
          <w:rFonts w:ascii="Arial"/>
          <w:u w:val="single"/>
        </w:rPr>
        <w:t xml:space="preserve"> </w:t>
      </w:r>
      <w:r>
        <w:rPr>
          <w:rFonts w:ascii="Arial"/>
          <w:u w:val="single"/>
        </w:rPr>
        <w:tab/>
      </w:r>
      <w:r>
        <w:rPr>
          <w:rFonts w:ascii="Arial"/>
          <w:u w:val="single"/>
        </w:rPr>
        <w:tab/>
      </w:r>
      <w:r>
        <w:rPr>
          <w:rFonts w:ascii="Arial"/>
          <w:spacing w:val="24"/>
        </w:rPr>
        <w:t xml:space="preserve"> </w:t>
      </w:r>
      <w:r>
        <w:rPr>
          <w:rFonts w:ascii="Arial"/>
        </w:rPr>
        <w:t>Department of</w:t>
      </w:r>
      <w:r>
        <w:rPr>
          <w:rFonts w:ascii="Arial"/>
          <w:spacing w:val="-7"/>
        </w:rPr>
        <w:t xml:space="preserve"> </w:t>
      </w:r>
      <w:r>
        <w:rPr>
          <w:rFonts w:ascii="Arial"/>
        </w:rPr>
        <w:t>Veterans</w:t>
      </w:r>
      <w:r>
        <w:rPr>
          <w:rFonts w:ascii="Arial"/>
          <w:spacing w:val="-3"/>
        </w:rPr>
        <w:t xml:space="preserve"> </w:t>
      </w:r>
      <w:r>
        <w:rPr>
          <w:rFonts w:ascii="Arial"/>
        </w:rPr>
        <w:t xml:space="preserve">Affairs </w:t>
      </w:r>
      <w:r>
        <w:rPr>
          <w:rFonts w:ascii="Arial"/>
          <w:spacing w:val="19"/>
        </w:rPr>
        <w:t xml:space="preserve"> </w:t>
      </w:r>
      <w:r>
        <w:rPr>
          <w:rFonts w:ascii="Arial"/>
          <w:u w:val="single"/>
        </w:rPr>
        <w:t xml:space="preserve"> </w:t>
      </w:r>
      <w:r>
        <w:rPr>
          <w:rFonts w:ascii="Arial"/>
          <w:u w:val="single"/>
        </w:rPr>
        <w:tab/>
      </w:r>
      <w:r>
        <w:rPr>
          <w:rFonts w:ascii="Arial"/>
        </w:rPr>
        <w:t xml:space="preserve"> VistA Health Systems Design &amp;</w:t>
      </w:r>
      <w:r>
        <w:rPr>
          <w:rFonts w:ascii="Arial"/>
          <w:spacing w:val="-1"/>
        </w:rPr>
        <w:t xml:space="preserve"> </w:t>
      </w:r>
      <w:r>
        <w:rPr>
          <w:rFonts w:ascii="Arial"/>
        </w:rPr>
        <w:t>Development</w:t>
      </w:r>
    </w:p>
    <w:p w14:paraId="25F04B98" w14:textId="77777777" w:rsidR="004D5090" w:rsidRDefault="004D5090">
      <w:pPr>
        <w:spacing w:line="216" w:lineRule="auto"/>
        <w:rPr>
          <w:rFonts w:ascii="Arial"/>
        </w:rPr>
        <w:sectPr w:rsidR="004D5090">
          <w:type w:val="continuous"/>
          <w:pgSz w:w="12240" w:h="15840"/>
          <w:pgMar w:top="1500" w:right="1120" w:bottom="280" w:left="1340" w:header="720" w:footer="720" w:gutter="0"/>
          <w:cols w:space="720"/>
        </w:sectPr>
      </w:pPr>
    </w:p>
    <w:p w14:paraId="0E90CFBA" w14:textId="77777777" w:rsidR="004D5090" w:rsidRDefault="004D5090">
      <w:pPr>
        <w:pStyle w:val="BodyText"/>
        <w:spacing w:before="4"/>
        <w:rPr>
          <w:rFonts w:ascii="Arial"/>
          <w:sz w:val="17"/>
        </w:rPr>
      </w:pPr>
    </w:p>
    <w:p w14:paraId="647DCD50" w14:textId="77777777" w:rsidR="004D5090" w:rsidRDefault="004D5090">
      <w:pPr>
        <w:rPr>
          <w:rFonts w:ascii="Arial"/>
          <w:sz w:val="17"/>
        </w:rPr>
        <w:sectPr w:rsidR="004D5090">
          <w:pgSz w:w="12240" w:h="15840"/>
          <w:pgMar w:top="1500" w:right="1120" w:bottom="280" w:left="1340" w:header="720" w:footer="720" w:gutter="0"/>
          <w:cols w:space="720"/>
        </w:sectPr>
      </w:pPr>
    </w:p>
    <w:p w14:paraId="493A5F7D" w14:textId="77777777" w:rsidR="004D5090" w:rsidRDefault="008F6876">
      <w:pPr>
        <w:tabs>
          <w:tab w:val="left" w:pos="9490"/>
        </w:tabs>
        <w:spacing w:before="73"/>
        <w:ind w:left="100"/>
        <w:rPr>
          <w:rFonts w:ascii="Arial"/>
          <w:b/>
          <w:sz w:val="36"/>
        </w:rPr>
      </w:pPr>
      <w:r>
        <w:rPr>
          <w:rFonts w:ascii="Arial"/>
          <w:b/>
          <w:color w:val="FFFFFF"/>
          <w:spacing w:val="-10"/>
          <w:sz w:val="36"/>
          <w:shd w:val="clear" w:color="auto" w:fill="000000"/>
        </w:rPr>
        <w:lastRenderedPageBreak/>
        <w:t>Revision</w:t>
      </w:r>
      <w:r>
        <w:rPr>
          <w:rFonts w:ascii="Arial"/>
          <w:b/>
          <w:color w:val="FFFFFF"/>
          <w:spacing w:val="-6"/>
          <w:sz w:val="36"/>
          <w:shd w:val="clear" w:color="auto" w:fill="000000"/>
        </w:rPr>
        <w:t xml:space="preserve"> </w:t>
      </w:r>
      <w:r>
        <w:rPr>
          <w:rFonts w:ascii="Arial"/>
          <w:b/>
          <w:color w:val="FFFFFF"/>
          <w:spacing w:val="-10"/>
          <w:sz w:val="36"/>
          <w:shd w:val="clear" w:color="auto" w:fill="000000"/>
        </w:rPr>
        <w:t>History</w:t>
      </w:r>
      <w:r>
        <w:rPr>
          <w:rFonts w:ascii="Arial"/>
          <w:b/>
          <w:color w:val="FFFFFF"/>
          <w:spacing w:val="-10"/>
          <w:sz w:val="36"/>
          <w:shd w:val="clear" w:color="auto" w:fill="000000"/>
        </w:rPr>
        <w:tab/>
      </w:r>
    </w:p>
    <w:p w14:paraId="5F6E07B0" w14:textId="77777777" w:rsidR="004D5090" w:rsidRDefault="008F6876">
      <w:pPr>
        <w:pStyle w:val="BodyText"/>
        <w:spacing w:before="320" w:line="225" w:lineRule="auto"/>
        <w:ind w:left="100" w:right="449"/>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1B29DD81" w14:textId="77777777" w:rsidR="004D5090" w:rsidRDefault="004D5090">
      <w:pPr>
        <w:pStyle w:val="BodyText"/>
        <w:spacing w:before="9"/>
        <w:rPr>
          <w:sz w:val="21"/>
        </w:rPr>
      </w:pPr>
    </w:p>
    <w:tbl>
      <w:tblPr>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9"/>
        <w:gridCol w:w="1261"/>
        <w:gridCol w:w="1220"/>
        <w:gridCol w:w="5623"/>
      </w:tblGrid>
      <w:tr w:rsidR="004D5090" w14:paraId="499D845C" w14:textId="77777777">
        <w:trPr>
          <w:trHeight w:val="587"/>
        </w:trPr>
        <w:tc>
          <w:tcPr>
            <w:tcW w:w="1169" w:type="dxa"/>
            <w:shd w:val="clear" w:color="auto" w:fill="E4E4E4"/>
          </w:tcPr>
          <w:p w14:paraId="30236D4A" w14:textId="77777777" w:rsidR="004D5090" w:rsidRDefault="008F6876">
            <w:pPr>
              <w:pStyle w:val="TableParagraph"/>
              <w:spacing w:before="38"/>
              <w:ind w:left="107" w:right="110"/>
              <w:rPr>
                <w:rFonts w:ascii="Arial"/>
                <w:b/>
              </w:rPr>
            </w:pPr>
            <w:r>
              <w:rPr>
                <w:rFonts w:ascii="Arial"/>
                <w:b/>
              </w:rPr>
              <w:t>Revision Date</w:t>
            </w:r>
          </w:p>
        </w:tc>
        <w:tc>
          <w:tcPr>
            <w:tcW w:w="1261" w:type="dxa"/>
            <w:shd w:val="clear" w:color="auto" w:fill="E4E4E4"/>
          </w:tcPr>
          <w:p w14:paraId="5A24780A" w14:textId="77777777" w:rsidR="004D5090" w:rsidRDefault="008F6876">
            <w:pPr>
              <w:pStyle w:val="TableParagraph"/>
              <w:spacing w:before="38"/>
              <w:ind w:left="304" w:right="174" w:hanging="96"/>
              <w:rPr>
                <w:rFonts w:ascii="Arial"/>
                <w:b/>
              </w:rPr>
            </w:pPr>
            <w:r>
              <w:rPr>
                <w:rFonts w:ascii="Arial"/>
                <w:b/>
              </w:rPr>
              <w:t>Revised Pages</w:t>
            </w:r>
          </w:p>
        </w:tc>
        <w:tc>
          <w:tcPr>
            <w:tcW w:w="1220" w:type="dxa"/>
            <w:shd w:val="clear" w:color="auto" w:fill="E4E4E4"/>
          </w:tcPr>
          <w:p w14:paraId="441DEE66" w14:textId="77777777" w:rsidR="004D5090" w:rsidRDefault="008F6876">
            <w:pPr>
              <w:pStyle w:val="TableParagraph"/>
              <w:spacing w:before="38"/>
              <w:ind w:left="193" w:right="160" w:firstLine="115"/>
              <w:rPr>
                <w:rFonts w:ascii="Arial"/>
                <w:b/>
              </w:rPr>
            </w:pPr>
            <w:r>
              <w:rPr>
                <w:rFonts w:ascii="Arial"/>
                <w:b/>
              </w:rPr>
              <w:t>Patch Number</w:t>
            </w:r>
          </w:p>
        </w:tc>
        <w:tc>
          <w:tcPr>
            <w:tcW w:w="5623" w:type="dxa"/>
            <w:shd w:val="clear" w:color="auto" w:fill="E4E4E4"/>
          </w:tcPr>
          <w:p w14:paraId="4B4FA5EE" w14:textId="77777777" w:rsidR="004D5090" w:rsidRDefault="008F6876">
            <w:pPr>
              <w:pStyle w:val="TableParagraph"/>
              <w:spacing w:before="35"/>
              <w:ind w:left="2364" w:right="1992"/>
              <w:jc w:val="center"/>
              <w:rPr>
                <w:rFonts w:ascii="Arial"/>
                <w:b/>
              </w:rPr>
            </w:pPr>
            <w:r>
              <w:rPr>
                <w:rFonts w:ascii="Arial"/>
                <w:b/>
              </w:rPr>
              <w:t>Description</w:t>
            </w:r>
          </w:p>
        </w:tc>
      </w:tr>
      <w:tr w:rsidR="004D5090" w14:paraId="2A1455B4" w14:textId="77777777">
        <w:trPr>
          <w:trHeight w:val="2184"/>
        </w:trPr>
        <w:tc>
          <w:tcPr>
            <w:tcW w:w="1169" w:type="dxa"/>
          </w:tcPr>
          <w:p w14:paraId="3AEBA2A7" w14:textId="77777777" w:rsidR="004D5090" w:rsidRDefault="008F6876">
            <w:pPr>
              <w:pStyle w:val="TableParagraph"/>
              <w:spacing w:before="32"/>
              <w:ind w:left="107"/>
            </w:pPr>
            <w:r>
              <w:t>12/2010</w:t>
            </w:r>
          </w:p>
        </w:tc>
        <w:tc>
          <w:tcPr>
            <w:tcW w:w="1261" w:type="dxa"/>
          </w:tcPr>
          <w:p w14:paraId="7CCBA35A" w14:textId="77777777" w:rsidR="004D5090" w:rsidRDefault="008F6876">
            <w:pPr>
              <w:pStyle w:val="TableParagraph"/>
              <w:spacing w:before="32"/>
              <w:ind w:left="433"/>
            </w:pPr>
            <w:r>
              <w:t>i, 71</w:t>
            </w:r>
          </w:p>
        </w:tc>
        <w:tc>
          <w:tcPr>
            <w:tcW w:w="1220" w:type="dxa"/>
          </w:tcPr>
          <w:p w14:paraId="2B46A6DD" w14:textId="77777777" w:rsidR="004D5090" w:rsidRDefault="008F6876">
            <w:pPr>
              <w:pStyle w:val="TableParagraph"/>
              <w:spacing w:before="32"/>
              <w:ind w:left="131"/>
            </w:pPr>
            <w:r>
              <w:t>PSX*2*71</w:t>
            </w:r>
          </w:p>
        </w:tc>
        <w:tc>
          <w:tcPr>
            <w:tcW w:w="5623" w:type="dxa"/>
          </w:tcPr>
          <w:p w14:paraId="507C26CE" w14:textId="77777777" w:rsidR="004D5090" w:rsidRDefault="008F6876">
            <w:pPr>
              <w:pStyle w:val="TableParagraph"/>
              <w:spacing w:before="34"/>
              <w:ind w:left="106" w:right="172"/>
            </w:pPr>
            <w:r>
              <w:t>Change to allow more than five warnings per prescription to be transmitted to CMOP, and also allow warning text that is greater than 220 characters per warning. Created a continuation segment in NTE|11A| to contain the warning text that is greater than the initial 220 characters, up to an additional 220 characters. The continuation segment immediately follows the NTE|11| segment of the warning.</w:t>
            </w:r>
          </w:p>
          <w:p w14:paraId="45E9815B" w14:textId="074D5A89" w:rsidR="004D5090" w:rsidRDefault="00CF7D9B">
            <w:pPr>
              <w:pStyle w:val="TableParagraph"/>
              <w:spacing w:before="78"/>
              <w:ind w:left="106"/>
            </w:pPr>
            <w:r>
              <w:rPr>
                <w:highlight w:val="yellow"/>
              </w:rPr>
              <w:t>REDACTED</w:t>
            </w:r>
          </w:p>
        </w:tc>
      </w:tr>
      <w:tr w:rsidR="004D5090" w14:paraId="60CEA735" w14:textId="77777777">
        <w:trPr>
          <w:trHeight w:val="666"/>
        </w:trPr>
        <w:tc>
          <w:tcPr>
            <w:tcW w:w="1169" w:type="dxa"/>
          </w:tcPr>
          <w:p w14:paraId="6928A577" w14:textId="77777777" w:rsidR="004D5090" w:rsidRDefault="008F6876">
            <w:pPr>
              <w:pStyle w:val="TableParagraph"/>
              <w:spacing w:before="32"/>
              <w:ind w:left="107"/>
            </w:pPr>
            <w:r>
              <w:t>07/2009</w:t>
            </w:r>
          </w:p>
        </w:tc>
        <w:tc>
          <w:tcPr>
            <w:tcW w:w="1261" w:type="dxa"/>
          </w:tcPr>
          <w:p w14:paraId="5760C695" w14:textId="77777777" w:rsidR="004D5090" w:rsidRDefault="008F6876">
            <w:pPr>
              <w:pStyle w:val="TableParagraph"/>
              <w:spacing w:before="32"/>
              <w:ind w:left="433"/>
            </w:pPr>
            <w:r>
              <w:t>i, 33</w:t>
            </w:r>
          </w:p>
        </w:tc>
        <w:tc>
          <w:tcPr>
            <w:tcW w:w="1220" w:type="dxa"/>
          </w:tcPr>
          <w:p w14:paraId="36AF21BD" w14:textId="77777777" w:rsidR="004D5090" w:rsidRDefault="008F6876">
            <w:pPr>
              <w:pStyle w:val="TableParagraph"/>
              <w:spacing w:before="32"/>
              <w:ind w:left="131"/>
            </w:pPr>
            <w:r>
              <w:t>PSX*2*65</w:t>
            </w:r>
          </w:p>
        </w:tc>
        <w:tc>
          <w:tcPr>
            <w:tcW w:w="5623" w:type="dxa"/>
          </w:tcPr>
          <w:p w14:paraId="77AE20CE" w14:textId="77777777" w:rsidR="004D5090" w:rsidRDefault="008F6876">
            <w:pPr>
              <w:pStyle w:val="TableParagraph"/>
              <w:spacing w:before="32"/>
              <w:ind w:left="106"/>
            </w:pPr>
            <w:r>
              <w:t>Added PSXRPPL2 and PSXBPSR1 to the routine List.</w:t>
            </w:r>
          </w:p>
          <w:p w14:paraId="6E2D742C" w14:textId="2D129045" w:rsidR="004D5090" w:rsidRDefault="00CF7D9B">
            <w:pPr>
              <w:pStyle w:val="TableParagraph"/>
              <w:spacing w:before="80"/>
              <w:ind w:left="161"/>
            </w:pPr>
            <w:r>
              <w:rPr>
                <w:highlight w:val="yellow"/>
              </w:rPr>
              <w:t>REDACTED</w:t>
            </w:r>
          </w:p>
        </w:tc>
      </w:tr>
      <w:tr w:rsidR="004D5090" w14:paraId="38611A5D" w14:textId="77777777">
        <w:trPr>
          <w:trHeight w:val="918"/>
        </w:trPr>
        <w:tc>
          <w:tcPr>
            <w:tcW w:w="1169" w:type="dxa"/>
          </w:tcPr>
          <w:p w14:paraId="72F17365" w14:textId="77777777" w:rsidR="004D5090" w:rsidRDefault="008F6876">
            <w:pPr>
              <w:pStyle w:val="TableParagraph"/>
              <w:spacing w:before="32"/>
              <w:ind w:left="107"/>
            </w:pPr>
            <w:r>
              <w:t>01/2007</w:t>
            </w:r>
          </w:p>
        </w:tc>
        <w:tc>
          <w:tcPr>
            <w:tcW w:w="1261" w:type="dxa"/>
          </w:tcPr>
          <w:p w14:paraId="33E4CD0C" w14:textId="77777777" w:rsidR="004D5090" w:rsidRDefault="008F6876">
            <w:pPr>
              <w:pStyle w:val="TableParagraph"/>
              <w:spacing w:before="34" w:line="252" w:lineRule="exact"/>
              <w:ind w:left="153"/>
            </w:pPr>
            <w:r>
              <w:t>33, 65,</w:t>
            </w:r>
            <w:r>
              <w:rPr>
                <w:spacing w:val="3"/>
              </w:rPr>
              <w:t xml:space="preserve"> </w:t>
            </w:r>
            <w:r>
              <w:t>68-</w:t>
            </w:r>
          </w:p>
          <w:p w14:paraId="6B9B19CD" w14:textId="77777777" w:rsidR="004D5090" w:rsidRDefault="008F6876">
            <w:pPr>
              <w:pStyle w:val="TableParagraph"/>
              <w:spacing w:line="252" w:lineRule="exact"/>
              <w:ind w:left="160"/>
            </w:pPr>
            <w:r>
              <w:t>69, 71,</w:t>
            </w:r>
            <w:r>
              <w:rPr>
                <w:spacing w:val="3"/>
              </w:rPr>
              <w:t xml:space="preserve"> </w:t>
            </w:r>
            <w:r>
              <w:t>75,</w:t>
            </w:r>
          </w:p>
          <w:p w14:paraId="3839C283" w14:textId="77777777" w:rsidR="004D5090" w:rsidRDefault="008F6876">
            <w:pPr>
              <w:pStyle w:val="TableParagraph"/>
              <w:spacing w:line="252" w:lineRule="exact"/>
              <w:ind w:left="213"/>
            </w:pPr>
            <w:r>
              <w:t>75a-b, 77</w:t>
            </w:r>
          </w:p>
        </w:tc>
        <w:tc>
          <w:tcPr>
            <w:tcW w:w="1220" w:type="dxa"/>
          </w:tcPr>
          <w:p w14:paraId="1AE7EAF1" w14:textId="77777777" w:rsidR="004D5090" w:rsidRDefault="008F6876">
            <w:pPr>
              <w:pStyle w:val="TableParagraph"/>
              <w:spacing w:before="32"/>
              <w:ind w:left="131"/>
            </w:pPr>
            <w:r>
              <w:t>PSX*2*54</w:t>
            </w:r>
          </w:p>
        </w:tc>
        <w:tc>
          <w:tcPr>
            <w:tcW w:w="5623" w:type="dxa"/>
          </w:tcPr>
          <w:p w14:paraId="4E2CE0BD" w14:textId="77777777" w:rsidR="004D5090" w:rsidRDefault="008F6876">
            <w:pPr>
              <w:pStyle w:val="TableParagraph"/>
              <w:spacing w:before="34"/>
              <w:ind w:left="106" w:right="111"/>
            </w:pPr>
            <w:r>
              <w:t>Added PSXBLD1 to the Routine List. Updated affected HL7 segments to reference the new warning label source.</w:t>
            </w:r>
          </w:p>
          <w:p w14:paraId="2AB68D8D" w14:textId="0F39E86E" w:rsidR="004D5090" w:rsidRDefault="00CF7D9B">
            <w:pPr>
              <w:pStyle w:val="TableParagraph"/>
              <w:spacing w:before="77"/>
              <w:ind w:left="106"/>
            </w:pPr>
            <w:r>
              <w:rPr>
                <w:highlight w:val="yellow"/>
              </w:rPr>
              <w:t>REDACTED</w:t>
            </w:r>
          </w:p>
        </w:tc>
      </w:tr>
      <w:tr w:rsidR="004D5090" w14:paraId="3FF013E9" w14:textId="77777777">
        <w:trPr>
          <w:trHeight w:val="1425"/>
        </w:trPr>
        <w:tc>
          <w:tcPr>
            <w:tcW w:w="1169" w:type="dxa"/>
          </w:tcPr>
          <w:p w14:paraId="003D27D9" w14:textId="77777777" w:rsidR="004D5090" w:rsidRDefault="008F6876">
            <w:pPr>
              <w:pStyle w:val="TableParagraph"/>
              <w:spacing w:before="32"/>
              <w:ind w:left="107"/>
            </w:pPr>
            <w:r>
              <w:t>09/2006</w:t>
            </w:r>
          </w:p>
        </w:tc>
        <w:tc>
          <w:tcPr>
            <w:tcW w:w="1261" w:type="dxa"/>
          </w:tcPr>
          <w:p w14:paraId="452E5CF0" w14:textId="77777777" w:rsidR="004D5090" w:rsidRDefault="008F6876">
            <w:pPr>
              <w:pStyle w:val="TableParagraph"/>
              <w:spacing w:before="32"/>
              <w:ind w:left="489"/>
            </w:pPr>
            <w:r>
              <w:t>All</w:t>
            </w:r>
          </w:p>
        </w:tc>
        <w:tc>
          <w:tcPr>
            <w:tcW w:w="1220" w:type="dxa"/>
          </w:tcPr>
          <w:p w14:paraId="1EB04A5E" w14:textId="77777777" w:rsidR="004D5090" w:rsidRDefault="008F6876">
            <w:pPr>
              <w:pStyle w:val="TableParagraph"/>
              <w:spacing w:before="32"/>
              <w:ind w:left="131"/>
            </w:pPr>
            <w:r>
              <w:t>PSX*2*61</w:t>
            </w:r>
          </w:p>
        </w:tc>
        <w:tc>
          <w:tcPr>
            <w:tcW w:w="5623" w:type="dxa"/>
          </w:tcPr>
          <w:p w14:paraId="6C21BE94" w14:textId="77777777" w:rsidR="004D5090" w:rsidRDefault="008F6876">
            <w:pPr>
              <w:pStyle w:val="TableParagraph"/>
              <w:spacing w:before="34"/>
              <w:ind w:left="106" w:right="115"/>
            </w:pPr>
            <w:r>
              <w:t>Encapsulation II Follow-up Patches. Added PSX550 to the Routine List. (Clean-up - fixed both Table of Contents, added blank pages, deleted headers, re-numbered pages, etc.) This is a re-issue of the full</w:t>
            </w:r>
            <w:r>
              <w:rPr>
                <w:spacing w:val="-12"/>
              </w:rPr>
              <w:t xml:space="preserve"> </w:t>
            </w:r>
            <w:r>
              <w:t>manual.</w:t>
            </w:r>
          </w:p>
          <w:p w14:paraId="65992A13" w14:textId="36BB76A7" w:rsidR="004D5090" w:rsidRDefault="00CF7D9B">
            <w:pPr>
              <w:pStyle w:val="TableParagraph"/>
              <w:spacing w:before="78"/>
              <w:ind w:left="106"/>
            </w:pPr>
            <w:r>
              <w:rPr>
                <w:highlight w:val="yellow"/>
              </w:rPr>
              <w:t>REDACTED</w:t>
            </w:r>
          </w:p>
        </w:tc>
      </w:tr>
      <w:tr w:rsidR="004D5090" w14:paraId="71D433DF" w14:textId="77777777">
        <w:trPr>
          <w:trHeight w:val="332"/>
        </w:trPr>
        <w:tc>
          <w:tcPr>
            <w:tcW w:w="1169" w:type="dxa"/>
          </w:tcPr>
          <w:p w14:paraId="7838B8E5" w14:textId="77777777" w:rsidR="004D5090" w:rsidRDefault="008F6876">
            <w:pPr>
              <w:pStyle w:val="TableParagraph"/>
              <w:spacing w:before="32"/>
              <w:ind w:left="107"/>
            </w:pPr>
            <w:r>
              <w:t>04/1997</w:t>
            </w:r>
          </w:p>
        </w:tc>
        <w:tc>
          <w:tcPr>
            <w:tcW w:w="1261" w:type="dxa"/>
            <w:shd w:val="clear" w:color="auto" w:fill="CCCCCC"/>
          </w:tcPr>
          <w:p w14:paraId="331A0E92" w14:textId="77777777" w:rsidR="004D5090" w:rsidRDefault="004D5090">
            <w:pPr>
              <w:pStyle w:val="TableParagraph"/>
            </w:pPr>
          </w:p>
        </w:tc>
        <w:tc>
          <w:tcPr>
            <w:tcW w:w="1220" w:type="dxa"/>
            <w:shd w:val="clear" w:color="auto" w:fill="CCCCCC"/>
          </w:tcPr>
          <w:p w14:paraId="09ADC7BE" w14:textId="77777777" w:rsidR="004D5090" w:rsidRDefault="004D5090">
            <w:pPr>
              <w:pStyle w:val="TableParagraph"/>
            </w:pPr>
          </w:p>
        </w:tc>
        <w:tc>
          <w:tcPr>
            <w:tcW w:w="5623" w:type="dxa"/>
          </w:tcPr>
          <w:p w14:paraId="6AD46930" w14:textId="77777777" w:rsidR="004D5090" w:rsidRDefault="008F6876">
            <w:pPr>
              <w:pStyle w:val="TableParagraph"/>
              <w:spacing w:before="32"/>
              <w:ind w:left="106"/>
            </w:pPr>
            <w:r>
              <w:t>Original Released Technical Manual.</w:t>
            </w:r>
          </w:p>
        </w:tc>
      </w:tr>
    </w:tbl>
    <w:p w14:paraId="74D6DF54" w14:textId="77777777" w:rsidR="004D5090" w:rsidRDefault="004D5090">
      <w:pPr>
        <w:pStyle w:val="BodyText"/>
        <w:rPr>
          <w:sz w:val="26"/>
        </w:rPr>
      </w:pPr>
    </w:p>
    <w:p w14:paraId="72429A51" w14:textId="77777777" w:rsidR="004D5090" w:rsidRDefault="004D5090">
      <w:pPr>
        <w:pStyle w:val="BodyText"/>
        <w:rPr>
          <w:sz w:val="26"/>
        </w:rPr>
      </w:pPr>
    </w:p>
    <w:p w14:paraId="0026F88F" w14:textId="77777777" w:rsidR="004D5090" w:rsidRDefault="004D5090">
      <w:pPr>
        <w:pStyle w:val="BodyText"/>
        <w:rPr>
          <w:sz w:val="26"/>
        </w:rPr>
      </w:pPr>
    </w:p>
    <w:p w14:paraId="721A4569" w14:textId="77777777" w:rsidR="004D5090" w:rsidRDefault="004D5090">
      <w:pPr>
        <w:pStyle w:val="BodyText"/>
        <w:rPr>
          <w:sz w:val="26"/>
        </w:rPr>
      </w:pPr>
    </w:p>
    <w:p w14:paraId="74E5C793" w14:textId="77777777" w:rsidR="004D5090" w:rsidRDefault="004D5090">
      <w:pPr>
        <w:pStyle w:val="BodyText"/>
        <w:rPr>
          <w:sz w:val="26"/>
        </w:rPr>
      </w:pPr>
    </w:p>
    <w:p w14:paraId="2E26595A" w14:textId="77777777" w:rsidR="004D5090" w:rsidRDefault="004D5090">
      <w:pPr>
        <w:pStyle w:val="BodyText"/>
        <w:rPr>
          <w:sz w:val="26"/>
        </w:rPr>
      </w:pPr>
    </w:p>
    <w:p w14:paraId="103E8A6B" w14:textId="77777777" w:rsidR="004D5090" w:rsidRDefault="004D5090">
      <w:pPr>
        <w:pStyle w:val="BodyText"/>
        <w:rPr>
          <w:sz w:val="26"/>
        </w:rPr>
      </w:pPr>
    </w:p>
    <w:p w14:paraId="4A50F19A" w14:textId="77777777" w:rsidR="004D5090" w:rsidRDefault="004D5090">
      <w:pPr>
        <w:pStyle w:val="BodyText"/>
        <w:rPr>
          <w:sz w:val="26"/>
        </w:rPr>
      </w:pPr>
    </w:p>
    <w:p w14:paraId="1E518CC5" w14:textId="77777777" w:rsidR="004D5090" w:rsidRDefault="004D5090">
      <w:pPr>
        <w:pStyle w:val="BodyText"/>
        <w:rPr>
          <w:sz w:val="26"/>
        </w:rPr>
      </w:pPr>
    </w:p>
    <w:p w14:paraId="399223A7" w14:textId="77777777" w:rsidR="004D5090" w:rsidRDefault="004D5090">
      <w:pPr>
        <w:pStyle w:val="BodyText"/>
        <w:rPr>
          <w:sz w:val="26"/>
        </w:rPr>
      </w:pPr>
    </w:p>
    <w:p w14:paraId="366E9F73" w14:textId="77777777" w:rsidR="004D5090" w:rsidRDefault="004D5090">
      <w:pPr>
        <w:pStyle w:val="BodyText"/>
        <w:rPr>
          <w:sz w:val="26"/>
        </w:rPr>
      </w:pPr>
    </w:p>
    <w:p w14:paraId="4CE7DA30" w14:textId="77777777" w:rsidR="004D5090" w:rsidRDefault="004D5090">
      <w:pPr>
        <w:pStyle w:val="BodyText"/>
        <w:rPr>
          <w:sz w:val="26"/>
        </w:rPr>
      </w:pPr>
    </w:p>
    <w:p w14:paraId="75AA545A" w14:textId="77777777" w:rsidR="004D5090" w:rsidRDefault="004D5090">
      <w:pPr>
        <w:pStyle w:val="BodyText"/>
        <w:rPr>
          <w:sz w:val="26"/>
        </w:rPr>
      </w:pPr>
    </w:p>
    <w:p w14:paraId="2272F6A2" w14:textId="77777777" w:rsidR="004D5090" w:rsidRDefault="004D5090">
      <w:pPr>
        <w:pStyle w:val="BodyText"/>
        <w:rPr>
          <w:sz w:val="26"/>
        </w:rPr>
      </w:pPr>
    </w:p>
    <w:p w14:paraId="2F6C7B18" w14:textId="77777777" w:rsidR="004D5090" w:rsidRDefault="004D5090">
      <w:pPr>
        <w:pStyle w:val="BodyText"/>
        <w:rPr>
          <w:sz w:val="26"/>
        </w:rPr>
      </w:pPr>
    </w:p>
    <w:p w14:paraId="6FBB242D" w14:textId="77777777" w:rsidR="004D5090" w:rsidRDefault="008F6876">
      <w:pPr>
        <w:tabs>
          <w:tab w:val="left" w:pos="2794"/>
          <w:tab w:val="left" w:pos="9306"/>
        </w:tabs>
        <w:spacing w:before="177" w:line="219" w:lineRule="exact"/>
        <w:ind w:right="215"/>
        <w:jc w:val="center"/>
        <w:rPr>
          <w:sz w:val="20"/>
        </w:rPr>
      </w:pPr>
      <w:r>
        <w:rPr>
          <w:sz w:val="20"/>
        </w:rPr>
        <w:t>December</w:t>
      </w:r>
      <w:r>
        <w:rPr>
          <w:spacing w:val="1"/>
          <w:sz w:val="20"/>
        </w:rPr>
        <w:t xml:space="preserve"> </w:t>
      </w:r>
      <w:r>
        <w:rPr>
          <w:sz w:val="20"/>
        </w:rPr>
        <w:t>2010</w:t>
      </w:r>
      <w:r>
        <w:rPr>
          <w:sz w:val="20"/>
        </w:rPr>
        <w:tab/>
        <w:t>Consolidated Mail Outpatient Pharmacy</w:t>
      </w:r>
      <w:r>
        <w:rPr>
          <w:spacing w:val="-10"/>
          <w:sz w:val="20"/>
        </w:rPr>
        <w:t xml:space="preserve"> </w:t>
      </w:r>
      <w:r>
        <w:rPr>
          <w:sz w:val="20"/>
        </w:rPr>
        <w:t>V.</w:t>
      </w:r>
      <w:r>
        <w:rPr>
          <w:spacing w:val="-2"/>
          <w:sz w:val="20"/>
        </w:rPr>
        <w:t xml:space="preserve"> </w:t>
      </w:r>
      <w:r>
        <w:rPr>
          <w:sz w:val="20"/>
        </w:rPr>
        <w:t>2.0</w:t>
      </w:r>
      <w:r>
        <w:rPr>
          <w:sz w:val="20"/>
        </w:rPr>
        <w:tab/>
        <w:t>i</w:t>
      </w:r>
    </w:p>
    <w:p w14:paraId="7967D817" w14:textId="77777777" w:rsidR="004D5090" w:rsidRDefault="008F6876">
      <w:pPr>
        <w:spacing w:before="8" w:line="216" w:lineRule="auto"/>
        <w:ind w:left="4035" w:right="4254"/>
        <w:jc w:val="center"/>
        <w:rPr>
          <w:sz w:val="20"/>
        </w:rPr>
      </w:pPr>
      <w:r>
        <w:rPr>
          <w:sz w:val="20"/>
        </w:rPr>
        <w:t>Technical Manual PSX*2*71</w:t>
      </w:r>
    </w:p>
    <w:p w14:paraId="1FD9F367" w14:textId="77777777" w:rsidR="004D5090" w:rsidRDefault="004D5090">
      <w:pPr>
        <w:spacing w:line="216" w:lineRule="auto"/>
        <w:jc w:val="center"/>
        <w:rPr>
          <w:sz w:val="20"/>
        </w:rPr>
        <w:sectPr w:rsidR="004D5090">
          <w:pgSz w:w="12240" w:h="15840"/>
          <w:pgMar w:top="1500" w:right="1120" w:bottom="280" w:left="1340" w:header="720" w:footer="720" w:gutter="0"/>
          <w:cols w:space="720"/>
        </w:sectPr>
      </w:pPr>
    </w:p>
    <w:p w14:paraId="075B7270" w14:textId="77777777" w:rsidR="004D5090" w:rsidRDefault="008F6876">
      <w:pPr>
        <w:spacing w:before="70"/>
        <w:ind w:right="157"/>
        <w:jc w:val="center"/>
        <w:rPr>
          <w:sz w:val="24"/>
        </w:rPr>
      </w:pPr>
      <w:r>
        <w:rPr>
          <w:sz w:val="24"/>
        </w:rPr>
        <w:lastRenderedPageBreak/>
        <w:t>(</w:t>
      </w:r>
      <w:r>
        <w:rPr>
          <w:i/>
          <w:sz w:val="24"/>
        </w:rPr>
        <w:t>Page intentionally left blank for two-sided copying.</w:t>
      </w:r>
      <w:r>
        <w:rPr>
          <w:sz w:val="24"/>
        </w:rPr>
        <w:t>)</w:t>
      </w:r>
    </w:p>
    <w:p w14:paraId="5A41F91E" w14:textId="77777777" w:rsidR="004D5090" w:rsidRDefault="004D5090">
      <w:pPr>
        <w:pStyle w:val="BodyText"/>
        <w:rPr>
          <w:sz w:val="20"/>
        </w:rPr>
      </w:pPr>
    </w:p>
    <w:p w14:paraId="2FFEEA36" w14:textId="77777777" w:rsidR="004D5090" w:rsidRDefault="004D5090">
      <w:pPr>
        <w:pStyle w:val="BodyText"/>
        <w:rPr>
          <w:sz w:val="20"/>
        </w:rPr>
      </w:pPr>
    </w:p>
    <w:p w14:paraId="616BEC30" w14:textId="77777777" w:rsidR="004D5090" w:rsidRDefault="004D5090">
      <w:pPr>
        <w:pStyle w:val="BodyText"/>
        <w:rPr>
          <w:sz w:val="20"/>
        </w:rPr>
      </w:pPr>
    </w:p>
    <w:p w14:paraId="0450CDB9" w14:textId="77777777" w:rsidR="004D5090" w:rsidRDefault="004D5090">
      <w:pPr>
        <w:pStyle w:val="BodyText"/>
        <w:rPr>
          <w:sz w:val="20"/>
        </w:rPr>
      </w:pPr>
    </w:p>
    <w:p w14:paraId="2AF0F558" w14:textId="77777777" w:rsidR="004D5090" w:rsidRDefault="004D5090">
      <w:pPr>
        <w:pStyle w:val="BodyText"/>
        <w:rPr>
          <w:sz w:val="20"/>
        </w:rPr>
      </w:pPr>
    </w:p>
    <w:p w14:paraId="79010137" w14:textId="77777777" w:rsidR="004D5090" w:rsidRDefault="004D5090">
      <w:pPr>
        <w:pStyle w:val="BodyText"/>
        <w:rPr>
          <w:sz w:val="20"/>
        </w:rPr>
      </w:pPr>
    </w:p>
    <w:p w14:paraId="3698896D" w14:textId="77777777" w:rsidR="004D5090" w:rsidRDefault="004D5090">
      <w:pPr>
        <w:pStyle w:val="BodyText"/>
        <w:rPr>
          <w:sz w:val="20"/>
        </w:rPr>
      </w:pPr>
    </w:p>
    <w:p w14:paraId="14DCEA8D" w14:textId="77777777" w:rsidR="004D5090" w:rsidRDefault="004D5090">
      <w:pPr>
        <w:pStyle w:val="BodyText"/>
        <w:rPr>
          <w:sz w:val="20"/>
        </w:rPr>
      </w:pPr>
    </w:p>
    <w:p w14:paraId="7A1ECF6D" w14:textId="77777777" w:rsidR="004D5090" w:rsidRDefault="004D5090">
      <w:pPr>
        <w:pStyle w:val="BodyText"/>
        <w:rPr>
          <w:sz w:val="20"/>
        </w:rPr>
      </w:pPr>
    </w:p>
    <w:p w14:paraId="0B088F3F" w14:textId="77777777" w:rsidR="004D5090" w:rsidRDefault="004D5090">
      <w:pPr>
        <w:pStyle w:val="BodyText"/>
        <w:rPr>
          <w:sz w:val="20"/>
        </w:rPr>
      </w:pPr>
    </w:p>
    <w:p w14:paraId="626C2718" w14:textId="77777777" w:rsidR="004D5090" w:rsidRDefault="004D5090">
      <w:pPr>
        <w:pStyle w:val="BodyText"/>
        <w:rPr>
          <w:sz w:val="20"/>
        </w:rPr>
      </w:pPr>
    </w:p>
    <w:p w14:paraId="6A24C14C" w14:textId="77777777" w:rsidR="004D5090" w:rsidRDefault="004D5090">
      <w:pPr>
        <w:pStyle w:val="BodyText"/>
        <w:rPr>
          <w:sz w:val="20"/>
        </w:rPr>
      </w:pPr>
    </w:p>
    <w:p w14:paraId="1F186AEF" w14:textId="77777777" w:rsidR="004D5090" w:rsidRDefault="004D5090">
      <w:pPr>
        <w:pStyle w:val="BodyText"/>
        <w:rPr>
          <w:sz w:val="20"/>
        </w:rPr>
      </w:pPr>
    </w:p>
    <w:p w14:paraId="06CB2300" w14:textId="77777777" w:rsidR="004D5090" w:rsidRDefault="004D5090">
      <w:pPr>
        <w:pStyle w:val="BodyText"/>
        <w:rPr>
          <w:sz w:val="20"/>
        </w:rPr>
      </w:pPr>
    </w:p>
    <w:p w14:paraId="3A0A781D" w14:textId="77777777" w:rsidR="004D5090" w:rsidRDefault="004D5090">
      <w:pPr>
        <w:pStyle w:val="BodyText"/>
        <w:rPr>
          <w:sz w:val="20"/>
        </w:rPr>
      </w:pPr>
    </w:p>
    <w:p w14:paraId="3EAEC475" w14:textId="77777777" w:rsidR="004D5090" w:rsidRDefault="004D5090">
      <w:pPr>
        <w:pStyle w:val="BodyText"/>
        <w:rPr>
          <w:sz w:val="20"/>
        </w:rPr>
      </w:pPr>
    </w:p>
    <w:p w14:paraId="51B380C3" w14:textId="77777777" w:rsidR="004D5090" w:rsidRDefault="004D5090">
      <w:pPr>
        <w:pStyle w:val="BodyText"/>
        <w:rPr>
          <w:sz w:val="20"/>
        </w:rPr>
      </w:pPr>
    </w:p>
    <w:p w14:paraId="6E5FA4E2" w14:textId="77777777" w:rsidR="004D5090" w:rsidRDefault="004D5090">
      <w:pPr>
        <w:pStyle w:val="BodyText"/>
        <w:rPr>
          <w:sz w:val="20"/>
        </w:rPr>
      </w:pPr>
    </w:p>
    <w:p w14:paraId="66456F74" w14:textId="77777777" w:rsidR="004D5090" w:rsidRDefault="004D5090">
      <w:pPr>
        <w:pStyle w:val="BodyText"/>
        <w:rPr>
          <w:sz w:val="20"/>
        </w:rPr>
      </w:pPr>
    </w:p>
    <w:p w14:paraId="10D1B100" w14:textId="77777777" w:rsidR="004D5090" w:rsidRDefault="004D5090">
      <w:pPr>
        <w:pStyle w:val="BodyText"/>
        <w:rPr>
          <w:sz w:val="20"/>
        </w:rPr>
      </w:pPr>
    </w:p>
    <w:p w14:paraId="57800A24" w14:textId="77777777" w:rsidR="004D5090" w:rsidRDefault="004D5090">
      <w:pPr>
        <w:pStyle w:val="BodyText"/>
        <w:rPr>
          <w:sz w:val="20"/>
        </w:rPr>
      </w:pPr>
    </w:p>
    <w:p w14:paraId="6611E94F" w14:textId="77777777" w:rsidR="004D5090" w:rsidRDefault="004D5090">
      <w:pPr>
        <w:pStyle w:val="BodyText"/>
        <w:rPr>
          <w:sz w:val="20"/>
        </w:rPr>
      </w:pPr>
    </w:p>
    <w:p w14:paraId="58305A8F" w14:textId="77777777" w:rsidR="004D5090" w:rsidRDefault="004D5090">
      <w:pPr>
        <w:pStyle w:val="BodyText"/>
        <w:rPr>
          <w:sz w:val="20"/>
        </w:rPr>
      </w:pPr>
    </w:p>
    <w:p w14:paraId="520EF824" w14:textId="77777777" w:rsidR="004D5090" w:rsidRDefault="004D5090">
      <w:pPr>
        <w:pStyle w:val="BodyText"/>
        <w:rPr>
          <w:sz w:val="20"/>
        </w:rPr>
      </w:pPr>
    </w:p>
    <w:p w14:paraId="23524EE7" w14:textId="77777777" w:rsidR="004D5090" w:rsidRDefault="004D5090">
      <w:pPr>
        <w:pStyle w:val="BodyText"/>
        <w:rPr>
          <w:sz w:val="20"/>
        </w:rPr>
      </w:pPr>
    </w:p>
    <w:p w14:paraId="27A9B4E2" w14:textId="77777777" w:rsidR="004D5090" w:rsidRDefault="004D5090">
      <w:pPr>
        <w:pStyle w:val="BodyText"/>
        <w:rPr>
          <w:sz w:val="20"/>
        </w:rPr>
      </w:pPr>
    </w:p>
    <w:p w14:paraId="348D0816" w14:textId="77777777" w:rsidR="004D5090" w:rsidRDefault="004D5090">
      <w:pPr>
        <w:pStyle w:val="BodyText"/>
        <w:rPr>
          <w:sz w:val="20"/>
        </w:rPr>
      </w:pPr>
    </w:p>
    <w:p w14:paraId="217C007F" w14:textId="77777777" w:rsidR="004D5090" w:rsidRDefault="004D5090">
      <w:pPr>
        <w:pStyle w:val="BodyText"/>
        <w:rPr>
          <w:sz w:val="20"/>
        </w:rPr>
      </w:pPr>
    </w:p>
    <w:p w14:paraId="2D2BCD12" w14:textId="77777777" w:rsidR="004D5090" w:rsidRDefault="004D5090">
      <w:pPr>
        <w:pStyle w:val="BodyText"/>
        <w:rPr>
          <w:sz w:val="20"/>
        </w:rPr>
      </w:pPr>
    </w:p>
    <w:p w14:paraId="04670994" w14:textId="77777777" w:rsidR="004D5090" w:rsidRDefault="004D5090">
      <w:pPr>
        <w:pStyle w:val="BodyText"/>
        <w:rPr>
          <w:sz w:val="20"/>
        </w:rPr>
      </w:pPr>
    </w:p>
    <w:p w14:paraId="7FE724AA" w14:textId="77777777" w:rsidR="004D5090" w:rsidRDefault="004D5090">
      <w:pPr>
        <w:pStyle w:val="BodyText"/>
        <w:rPr>
          <w:sz w:val="20"/>
        </w:rPr>
      </w:pPr>
    </w:p>
    <w:p w14:paraId="61768CE9" w14:textId="77777777" w:rsidR="004D5090" w:rsidRDefault="004D5090">
      <w:pPr>
        <w:pStyle w:val="BodyText"/>
        <w:rPr>
          <w:sz w:val="20"/>
        </w:rPr>
      </w:pPr>
    </w:p>
    <w:p w14:paraId="1C08A9ED" w14:textId="77777777" w:rsidR="004D5090" w:rsidRDefault="004D5090">
      <w:pPr>
        <w:pStyle w:val="BodyText"/>
        <w:rPr>
          <w:sz w:val="20"/>
        </w:rPr>
      </w:pPr>
    </w:p>
    <w:p w14:paraId="136BB66D" w14:textId="77777777" w:rsidR="004D5090" w:rsidRDefault="004D5090">
      <w:pPr>
        <w:pStyle w:val="BodyText"/>
        <w:rPr>
          <w:sz w:val="20"/>
        </w:rPr>
      </w:pPr>
    </w:p>
    <w:p w14:paraId="26423875" w14:textId="77777777" w:rsidR="004D5090" w:rsidRDefault="004D5090">
      <w:pPr>
        <w:pStyle w:val="BodyText"/>
        <w:rPr>
          <w:sz w:val="20"/>
        </w:rPr>
      </w:pPr>
    </w:p>
    <w:p w14:paraId="557CB792" w14:textId="77777777" w:rsidR="004D5090" w:rsidRDefault="004D5090">
      <w:pPr>
        <w:pStyle w:val="BodyText"/>
        <w:rPr>
          <w:sz w:val="20"/>
        </w:rPr>
      </w:pPr>
    </w:p>
    <w:p w14:paraId="2C9B386D" w14:textId="77777777" w:rsidR="004D5090" w:rsidRDefault="004D5090">
      <w:pPr>
        <w:pStyle w:val="BodyText"/>
        <w:rPr>
          <w:sz w:val="20"/>
        </w:rPr>
      </w:pPr>
    </w:p>
    <w:p w14:paraId="59D08603" w14:textId="77777777" w:rsidR="004D5090" w:rsidRDefault="004D5090">
      <w:pPr>
        <w:pStyle w:val="BodyText"/>
        <w:rPr>
          <w:sz w:val="20"/>
        </w:rPr>
      </w:pPr>
    </w:p>
    <w:p w14:paraId="2FB207D1" w14:textId="77777777" w:rsidR="004D5090" w:rsidRDefault="004D5090">
      <w:pPr>
        <w:pStyle w:val="BodyText"/>
        <w:rPr>
          <w:sz w:val="20"/>
        </w:rPr>
      </w:pPr>
    </w:p>
    <w:p w14:paraId="5BE2B7E3" w14:textId="77777777" w:rsidR="004D5090" w:rsidRDefault="004D5090">
      <w:pPr>
        <w:pStyle w:val="BodyText"/>
        <w:rPr>
          <w:sz w:val="20"/>
        </w:rPr>
      </w:pPr>
    </w:p>
    <w:p w14:paraId="23B56CF0" w14:textId="77777777" w:rsidR="004D5090" w:rsidRDefault="004D5090">
      <w:pPr>
        <w:pStyle w:val="BodyText"/>
        <w:rPr>
          <w:sz w:val="20"/>
        </w:rPr>
      </w:pPr>
    </w:p>
    <w:p w14:paraId="0220F521" w14:textId="77777777" w:rsidR="004D5090" w:rsidRDefault="004D5090">
      <w:pPr>
        <w:pStyle w:val="BodyText"/>
        <w:rPr>
          <w:sz w:val="20"/>
        </w:rPr>
      </w:pPr>
    </w:p>
    <w:p w14:paraId="4568A078" w14:textId="77777777" w:rsidR="004D5090" w:rsidRDefault="004D5090">
      <w:pPr>
        <w:pStyle w:val="BodyText"/>
        <w:rPr>
          <w:sz w:val="20"/>
        </w:rPr>
      </w:pPr>
    </w:p>
    <w:p w14:paraId="59E0FF40" w14:textId="77777777" w:rsidR="004D5090" w:rsidRDefault="004D5090">
      <w:pPr>
        <w:pStyle w:val="BodyText"/>
        <w:rPr>
          <w:sz w:val="20"/>
        </w:rPr>
      </w:pPr>
    </w:p>
    <w:p w14:paraId="27AD1B0F" w14:textId="77777777" w:rsidR="004D5090" w:rsidRDefault="004D5090">
      <w:pPr>
        <w:pStyle w:val="BodyText"/>
        <w:rPr>
          <w:sz w:val="20"/>
        </w:rPr>
      </w:pPr>
    </w:p>
    <w:p w14:paraId="36F3DC00" w14:textId="77777777" w:rsidR="004D5090" w:rsidRDefault="004D5090">
      <w:pPr>
        <w:pStyle w:val="BodyText"/>
        <w:rPr>
          <w:sz w:val="20"/>
        </w:rPr>
      </w:pPr>
    </w:p>
    <w:p w14:paraId="444BC5C4" w14:textId="77777777" w:rsidR="004D5090" w:rsidRDefault="004D5090">
      <w:pPr>
        <w:pStyle w:val="BodyText"/>
        <w:rPr>
          <w:sz w:val="20"/>
        </w:rPr>
      </w:pPr>
    </w:p>
    <w:p w14:paraId="29EEBAE9" w14:textId="77777777" w:rsidR="004D5090" w:rsidRDefault="004D5090">
      <w:pPr>
        <w:pStyle w:val="BodyText"/>
        <w:rPr>
          <w:sz w:val="20"/>
        </w:rPr>
      </w:pPr>
    </w:p>
    <w:p w14:paraId="468533CB" w14:textId="77777777" w:rsidR="004D5090" w:rsidRDefault="004D5090">
      <w:pPr>
        <w:pStyle w:val="BodyText"/>
        <w:rPr>
          <w:sz w:val="20"/>
        </w:rPr>
      </w:pPr>
    </w:p>
    <w:p w14:paraId="7F20C098" w14:textId="77777777" w:rsidR="004D5090" w:rsidRDefault="004D5090">
      <w:pPr>
        <w:pStyle w:val="BodyText"/>
        <w:rPr>
          <w:sz w:val="20"/>
        </w:rPr>
      </w:pPr>
    </w:p>
    <w:p w14:paraId="26897CDC" w14:textId="77777777" w:rsidR="004D5090" w:rsidRDefault="004D5090">
      <w:pPr>
        <w:pStyle w:val="BodyText"/>
        <w:rPr>
          <w:sz w:val="20"/>
        </w:rPr>
      </w:pPr>
    </w:p>
    <w:p w14:paraId="0387BE4C" w14:textId="77777777" w:rsidR="004D5090" w:rsidRDefault="004D5090">
      <w:pPr>
        <w:pStyle w:val="BodyText"/>
        <w:rPr>
          <w:sz w:val="20"/>
        </w:rPr>
      </w:pPr>
    </w:p>
    <w:p w14:paraId="099C09D5" w14:textId="77777777" w:rsidR="004D5090" w:rsidRDefault="004D5090">
      <w:pPr>
        <w:pStyle w:val="BodyText"/>
        <w:rPr>
          <w:sz w:val="20"/>
        </w:rPr>
      </w:pPr>
    </w:p>
    <w:p w14:paraId="4231E7E7" w14:textId="77777777" w:rsidR="004D5090" w:rsidRDefault="004D5090">
      <w:pPr>
        <w:pStyle w:val="BodyText"/>
        <w:rPr>
          <w:sz w:val="20"/>
        </w:rPr>
      </w:pPr>
    </w:p>
    <w:p w14:paraId="0F9A5340" w14:textId="77777777" w:rsidR="004D5090" w:rsidRDefault="004D5090">
      <w:pPr>
        <w:pStyle w:val="BodyText"/>
        <w:rPr>
          <w:sz w:val="20"/>
        </w:rPr>
      </w:pPr>
    </w:p>
    <w:p w14:paraId="2E7878EC" w14:textId="77777777" w:rsidR="004D5090" w:rsidRDefault="004D5090">
      <w:pPr>
        <w:pStyle w:val="BodyText"/>
        <w:spacing w:before="6"/>
        <w:rPr>
          <w:sz w:val="22"/>
        </w:rPr>
      </w:pPr>
    </w:p>
    <w:p w14:paraId="5EC3B1D3" w14:textId="77777777" w:rsidR="004D5090" w:rsidRDefault="008F6876">
      <w:pPr>
        <w:tabs>
          <w:tab w:val="left" w:pos="2894"/>
          <w:tab w:val="left" w:pos="8156"/>
        </w:tabs>
        <w:spacing w:before="110" w:line="216" w:lineRule="auto"/>
        <w:ind w:left="4056" w:right="316" w:hanging="3956"/>
        <w:rPr>
          <w:sz w:val="20"/>
        </w:rPr>
      </w:pPr>
      <w:r>
        <w:rPr>
          <w:sz w:val="20"/>
        </w:rPr>
        <w:t>ii</w:t>
      </w:r>
      <w:r>
        <w:rPr>
          <w:sz w:val="20"/>
        </w:rPr>
        <w:tab/>
        <w:t>Consolidated Mail Outpatient Pharmacy</w:t>
      </w:r>
      <w:r>
        <w:rPr>
          <w:spacing w:val="-9"/>
          <w:sz w:val="20"/>
        </w:rPr>
        <w:t xml:space="preserve"> </w:t>
      </w:r>
      <w:r>
        <w:rPr>
          <w:sz w:val="20"/>
        </w:rPr>
        <w:t>V.</w:t>
      </w:r>
      <w:r>
        <w:rPr>
          <w:spacing w:val="-2"/>
          <w:sz w:val="20"/>
        </w:rPr>
        <w:t xml:space="preserve"> </w:t>
      </w:r>
      <w:r>
        <w:rPr>
          <w:sz w:val="20"/>
        </w:rPr>
        <w:t>2.0</w:t>
      </w:r>
      <w:r>
        <w:rPr>
          <w:sz w:val="20"/>
        </w:rPr>
        <w:tab/>
        <w:t xml:space="preserve">September </w:t>
      </w:r>
      <w:r>
        <w:rPr>
          <w:spacing w:val="-5"/>
          <w:sz w:val="20"/>
        </w:rPr>
        <w:t xml:space="preserve">2006 </w:t>
      </w:r>
      <w:r>
        <w:rPr>
          <w:sz w:val="20"/>
        </w:rPr>
        <w:t>Technical</w:t>
      </w:r>
      <w:r>
        <w:rPr>
          <w:spacing w:val="-1"/>
          <w:sz w:val="20"/>
        </w:rPr>
        <w:t xml:space="preserve"> </w:t>
      </w:r>
      <w:r>
        <w:rPr>
          <w:sz w:val="20"/>
        </w:rPr>
        <w:t>Manual</w:t>
      </w:r>
    </w:p>
    <w:p w14:paraId="1489DF6B" w14:textId="77777777" w:rsidR="004D5090" w:rsidRDefault="004D5090">
      <w:pPr>
        <w:spacing w:line="216" w:lineRule="auto"/>
        <w:rPr>
          <w:sz w:val="20"/>
        </w:rPr>
        <w:sectPr w:rsidR="004D5090">
          <w:pgSz w:w="12240" w:h="15840"/>
          <w:pgMar w:top="1340" w:right="1120" w:bottom="280" w:left="1340" w:header="720" w:footer="720" w:gutter="0"/>
          <w:cols w:space="720"/>
        </w:sectPr>
      </w:pPr>
    </w:p>
    <w:p w14:paraId="084CD7B4" w14:textId="77777777" w:rsidR="004D5090" w:rsidRDefault="008F6876">
      <w:pPr>
        <w:pStyle w:val="BodyText"/>
        <w:tabs>
          <w:tab w:val="left" w:pos="3600"/>
        </w:tabs>
        <w:spacing w:before="92" w:line="216" w:lineRule="auto"/>
        <w:ind w:left="3600" w:right="357" w:hanging="2689"/>
        <w:jc w:val="both"/>
      </w:pPr>
      <w:r>
        <w:lastRenderedPageBreak/>
        <w:t>7</w:t>
      </w:r>
      <w:r>
        <w:tab/>
        <w:t>SIG (Instructions) information when the SIG length exceeds the 80 characters allowed in the RX1 segment. This</w:t>
      </w:r>
      <w:r>
        <w:rPr>
          <w:spacing w:val="-12"/>
        </w:rPr>
        <w:t xml:space="preserve"> </w:t>
      </w:r>
      <w:r>
        <w:t>segment may repeat as many times as</w:t>
      </w:r>
      <w:r>
        <w:rPr>
          <w:spacing w:val="-10"/>
        </w:rPr>
        <w:t xml:space="preserve"> </w:t>
      </w:r>
      <w:r>
        <w:t>needed.</w:t>
      </w:r>
    </w:p>
    <w:p w14:paraId="06FBC0FA" w14:textId="77777777" w:rsidR="004D5090" w:rsidRDefault="004D5090">
      <w:pPr>
        <w:pStyle w:val="BodyText"/>
        <w:spacing w:before="8"/>
        <w:rPr>
          <w:sz w:val="21"/>
        </w:rPr>
      </w:pPr>
    </w:p>
    <w:p w14:paraId="0326ED39" w14:textId="77777777" w:rsidR="004D5090" w:rsidRDefault="008F6876">
      <w:pPr>
        <w:pStyle w:val="BodyText"/>
        <w:tabs>
          <w:tab w:val="left" w:pos="3600"/>
        </w:tabs>
        <w:spacing w:line="216" w:lineRule="auto"/>
        <w:ind w:left="3600" w:right="389" w:hanging="2780"/>
      </w:pPr>
      <w:r>
        <w:rPr>
          <w:b/>
        </w:rPr>
        <w:t>*</w:t>
      </w:r>
      <w:r>
        <w:t>8</w:t>
      </w:r>
      <w:r>
        <w:tab/>
        <w:t>If the patient street address information exceeds two lines (HL7 standard for PID segment), additional lines,</w:t>
      </w:r>
      <w:r>
        <w:rPr>
          <w:spacing w:val="-13"/>
        </w:rPr>
        <w:t xml:space="preserve"> </w:t>
      </w:r>
      <w:r>
        <w:t>beginning with “line 3” will be held in NTE|8| segments. These segments will always follow the Patient Identification (PID) segment. This segment will also contain temporary address information. (max</w:t>
      </w:r>
      <w:r>
        <w:rPr>
          <w:spacing w:val="1"/>
        </w:rPr>
        <w:t xml:space="preserve"> </w:t>
      </w:r>
      <w:r>
        <w:t>character=124)</w:t>
      </w:r>
    </w:p>
    <w:p w14:paraId="0767523E" w14:textId="77777777" w:rsidR="004D5090" w:rsidRDefault="004D5090">
      <w:pPr>
        <w:pStyle w:val="BodyText"/>
        <w:spacing w:before="5"/>
        <w:rPr>
          <w:sz w:val="21"/>
        </w:rPr>
      </w:pPr>
    </w:p>
    <w:p w14:paraId="21CAC049" w14:textId="77777777" w:rsidR="004D5090" w:rsidRDefault="008F6876">
      <w:pPr>
        <w:pStyle w:val="BodyText"/>
        <w:tabs>
          <w:tab w:val="left" w:pos="3600"/>
        </w:tabs>
        <w:spacing w:before="1" w:line="216" w:lineRule="auto"/>
        <w:ind w:left="3600" w:right="335" w:hanging="2780"/>
      </w:pPr>
      <w:r>
        <w:t>11</w:t>
      </w:r>
      <w:r>
        <w:tab/>
        <w:t>Warning Label Text - *When the CMOP WARNING LABEL SOURCE is “New”, the warning label numbers and corresponding warning label text will be sent in this new segment. If the patient has a PMI preference of Spanish, warning labels will be sent in both English and Spanish. If the DEA, SPECIAL HDLG field (#3) in the DRUG file (#50) begins with numbers 1,2,3,4, or 5, then the NO TRANSFER warning text from the RX CONSULT file (#54) entry number 20 will be sent as one of the warnings. There is no limit on the number of warnings that can be</w:t>
      </w:r>
      <w:r>
        <w:rPr>
          <w:spacing w:val="-12"/>
        </w:rPr>
        <w:t xml:space="preserve"> </w:t>
      </w:r>
      <w:r>
        <w:t>sent. The text in this segment, however, will be restricted to 220 characters. If the warning text is greater than 220 characters in length, then it will be continued in the continuation segment</w:t>
      </w:r>
      <w:r>
        <w:rPr>
          <w:spacing w:val="1"/>
        </w:rPr>
        <w:t xml:space="preserve"> </w:t>
      </w:r>
      <w:r>
        <w:t>NTE|11A|.</w:t>
      </w:r>
    </w:p>
    <w:p w14:paraId="7A3F7DFC" w14:textId="77777777" w:rsidR="004D5090" w:rsidRDefault="004D5090">
      <w:pPr>
        <w:pStyle w:val="BodyText"/>
        <w:spacing w:before="9"/>
        <w:rPr>
          <w:sz w:val="21"/>
        </w:rPr>
      </w:pPr>
    </w:p>
    <w:p w14:paraId="70D11675" w14:textId="77777777" w:rsidR="004D5090" w:rsidRDefault="008F6876">
      <w:pPr>
        <w:pStyle w:val="BodyText"/>
        <w:tabs>
          <w:tab w:val="left" w:pos="3600"/>
        </w:tabs>
        <w:spacing w:line="216" w:lineRule="auto"/>
        <w:ind w:left="3600" w:right="669" w:hanging="2780"/>
      </w:pPr>
      <w:r>
        <w:t>11A</w:t>
      </w:r>
      <w:r>
        <w:tab/>
        <w:t>Warning Label Text Continuation – *This segment will immediately follow the NTE|11| (Notes and Comments) segment, but only when the NTE|11| text exceeds 220 characters. This segment will contain the additional characters beyond the first 220 characters of the</w:t>
      </w:r>
      <w:r>
        <w:rPr>
          <w:spacing w:val="-11"/>
        </w:rPr>
        <w:t xml:space="preserve"> </w:t>
      </w:r>
      <w:r>
        <w:t>warning, but only up to an additional 220</w:t>
      </w:r>
      <w:r>
        <w:rPr>
          <w:spacing w:val="-5"/>
        </w:rPr>
        <w:t xml:space="preserve"> </w:t>
      </w:r>
      <w:r>
        <w:t>characters.</w:t>
      </w:r>
    </w:p>
    <w:p w14:paraId="205769F0" w14:textId="77777777" w:rsidR="004D5090" w:rsidRDefault="004D5090">
      <w:pPr>
        <w:pStyle w:val="BodyText"/>
        <w:spacing w:before="6"/>
        <w:rPr>
          <w:sz w:val="21"/>
        </w:rPr>
      </w:pPr>
    </w:p>
    <w:p w14:paraId="5487D129" w14:textId="77777777" w:rsidR="004D5090" w:rsidRDefault="008F6876">
      <w:pPr>
        <w:pStyle w:val="ListParagraph"/>
        <w:numPr>
          <w:ilvl w:val="0"/>
          <w:numId w:val="2"/>
        </w:numPr>
        <w:tabs>
          <w:tab w:val="left" w:pos="3600"/>
          <w:tab w:val="left" w:pos="3601"/>
        </w:tabs>
        <w:spacing w:line="216" w:lineRule="auto"/>
        <w:ind w:right="448"/>
        <w:jc w:val="left"/>
        <w:rPr>
          <w:sz w:val="24"/>
        </w:rPr>
      </w:pPr>
      <w:r>
        <w:rPr>
          <w:sz w:val="24"/>
        </w:rPr>
        <w:t xml:space="preserve">Information regarding dispensing of the prescription ordered. This data is returned from the vendor system </w:t>
      </w:r>
      <w:r>
        <w:rPr>
          <w:spacing w:val="-4"/>
          <w:sz w:val="24"/>
        </w:rPr>
        <w:t xml:space="preserve">when </w:t>
      </w:r>
      <w:r>
        <w:rPr>
          <w:sz w:val="24"/>
        </w:rPr>
        <w:t>a query message is received from the VistA system. (Required for each prescription</w:t>
      </w:r>
      <w:r>
        <w:rPr>
          <w:spacing w:val="-1"/>
          <w:sz w:val="24"/>
        </w:rPr>
        <w:t xml:space="preserve"> </w:t>
      </w:r>
      <w:r>
        <w:rPr>
          <w:sz w:val="24"/>
        </w:rPr>
        <w:t>returned.)</w:t>
      </w:r>
    </w:p>
    <w:p w14:paraId="796FFBD7" w14:textId="77777777" w:rsidR="004D5090" w:rsidRDefault="004D5090">
      <w:pPr>
        <w:pStyle w:val="BodyText"/>
        <w:spacing w:before="8"/>
        <w:rPr>
          <w:sz w:val="21"/>
        </w:rPr>
      </w:pPr>
    </w:p>
    <w:p w14:paraId="581D612A" w14:textId="77777777" w:rsidR="004D5090" w:rsidRDefault="008F6876">
      <w:pPr>
        <w:pStyle w:val="ListParagraph"/>
        <w:numPr>
          <w:ilvl w:val="0"/>
          <w:numId w:val="2"/>
        </w:numPr>
        <w:tabs>
          <w:tab w:val="left" w:pos="3600"/>
          <w:tab w:val="left" w:pos="3601"/>
        </w:tabs>
        <w:spacing w:line="216" w:lineRule="auto"/>
        <w:ind w:right="483" w:hanging="2869"/>
        <w:jc w:val="left"/>
        <w:rPr>
          <w:sz w:val="24"/>
        </w:rPr>
      </w:pPr>
      <w:r>
        <w:rPr>
          <w:sz w:val="24"/>
        </w:rPr>
        <w:t xml:space="preserve">Information on this segment consists of the cancellation reason for a non-dispensed prescription, the date the prescription was shipped to the patient, the carrier </w:t>
      </w:r>
      <w:r>
        <w:rPr>
          <w:spacing w:val="-3"/>
          <w:sz w:val="24"/>
        </w:rPr>
        <w:t xml:space="preserve">handling </w:t>
      </w:r>
      <w:r>
        <w:rPr>
          <w:sz w:val="24"/>
        </w:rPr>
        <w:t>the shipment, and the package identification code of the shipment. This data, if present, is returned by the vendor system when a query message is received from the VistA system.</w:t>
      </w:r>
    </w:p>
    <w:p w14:paraId="7A255E0C" w14:textId="77777777" w:rsidR="004D5090" w:rsidRDefault="004D5090">
      <w:pPr>
        <w:pStyle w:val="BodyText"/>
        <w:spacing w:before="8"/>
        <w:rPr>
          <w:sz w:val="21"/>
        </w:rPr>
      </w:pPr>
    </w:p>
    <w:p w14:paraId="0695F1BE" w14:textId="77777777" w:rsidR="004D5090" w:rsidRDefault="008F6876">
      <w:pPr>
        <w:pStyle w:val="BodyText"/>
        <w:spacing w:line="216" w:lineRule="auto"/>
        <w:ind w:left="1000" w:right="449" w:hanging="180"/>
        <w:jc w:val="both"/>
      </w:pPr>
      <w:r>
        <w:rPr>
          <w:b/>
        </w:rPr>
        <w:t>*</w:t>
      </w:r>
      <w:r>
        <w:t>The requirements of the data elements for this segment exceed the 120 character length definition, but will not exceed the maximum characters listed. The maximum length</w:t>
      </w:r>
      <w:r>
        <w:rPr>
          <w:spacing w:val="-14"/>
        </w:rPr>
        <w:t xml:space="preserve"> </w:t>
      </w:r>
      <w:r>
        <w:t>of any segment (including control characters) is 245</w:t>
      </w:r>
      <w:r>
        <w:rPr>
          <w:spacing w:val="-8"/>
        </w:rPr>
        <w:t xml:space="preserve"> </w:t>
      </w:r>
      <w:r>
        <w:t>characters.</w:t>
      </w:r>
    </w:p>
    <w:p w14:paraId="4167B168" w14:textId="77777777" w:rsidR="004D5090" w:rsidRDefault="004D5090">
      <w:pPr>
        <w:pStyle w:val="BodyText"/>
        <w:rPr>
          <w:sz w:val="20"/>
        </w:rPr>
      </w:pPr>
    </w:p>
    <w:p w14:paraId="420DC324" w14:textId="77777777" w:rsidR="004D5090" w:rsidRDefault="004D5090">
      <w:pPr>
        <w:pStyle w:val="BodyText"/>
        <w:rPr>
          <w:sz w:val="20"/>
        </w:rPr>
      </w:pPr>
    </w:p>
    <w:p w14:paraId="2504062F" w14:textId="77777777" w:rsidR="004D5090" w:rsidRDefault="004D5090">
      <w:pPr>
        <w:pStyle w:val="BodyText"/>
        <w:spacing w:before="9"/>
        <w:rPr>
          <w:sz w:val="27"/>
        </w:rPr>
      </w:pPr>
    </w:p>
    <w:p w14:paraId="266E0534" w14:textId="77777777" w:rsidR="004D5090" w:rsidRDefault="008F6876">
      <w:pPr>
        <w:tabs>
          <w:tab w:val="left" w:pos="2794"/>
          <w:tab w:val="right" w:pos="9361"/>
        </w:tabs>
        <w:spacing w:before="93" w:line="218" w:lineRule="exact"/>
        <w:ind w:right="215"/>
        <w:jc w:val="center"/>
        <w:rPr>
          <w:sz w:val="20"/>
        </w:rPr>
      </w:pPr>
      <w:r>
        <w:rPr>
          <w:sz w:val="20"/>
        </w:rPr>
        <w:t>December</w:t>
      </w:r>
      <w:r>
        <w:rPr>
          <w:spacing w:val="1"/>
          <w:sz w:val="20"/>
        </w:rPr>
        <w:t xml:space="preserve"> </w:t>
      </w:r>
      <w:r>
        <w:rPr>
          <w:sz w:val="20"/>
        </w:rPr>
        <w:t>2010</w:t>
      </w:r>
      <w:r>
        <w:rPr>
          <w:sz w:val="20"/>
        </w:rPr>
        <w:tab/>
        <w:t>Consolidated Mail Outpatient Pharmacy</w:t>
      </w:r>
      <w:r>
        <w:rPr>
          <w:spacing w:val="-3"/>
          <w:sz w:val="20"/>
        </w:rPr>
        <w:t xml:space="preserve"> </w:t>
      </w:r>
      <w:r>
        <w:rPr>
          <w:sz w:val="20"/>
        </w:rPr>
        <w:t>V.</w:t>
      </w:r>
      <w:r>
        <w:rPr>
          <w:spacing w:val="-1"/>
          <w:sz w:val="20"/>
        </w:rPr>
        <w:t xml:space="preserve"> </w:t>
      </w:r>
      <w:r>
        <w:rPr>
          <w:sz w:val="20"/>
        </w:rPr>
        <w:t>2.0</w:t>
      </w:r>
      <w:r>
        <w:rPr>
          <w:sz w:val="20"/>
        </w:rPr>
        <w:tab/>
        <w:t>71</w:t>
      </w:r>
    </w:p>
    <w:p w14:paraId="65CA6458" w14:textId="77777777" w:rsidR="004D5090" w:rsidRDefault="008F6876">
      <w:pPr>
        <w:spacing w:before="7" w:line="216" w:lineRule="auto"/>
        <w:ind w:left="4035" w:right="4254"/>
        <w:jc w:val="center"/>
        <w:rPr>
          <w:sz w:val="20"/>
        </w:rPr>
      </w:pPr>
      <w:r>
        <w:rPr>
          <w:sz w:val="20"/>
        </w:rPr>
        <w:t>Technical Manual PSX*2*71</w:t>
      </w:r>
    </w:p>
    <w:p w14:paraId="2078769C" w14:textId="77777777" w:rsidR="004D5090" w:rsidRDefault="004D5090">
      <w:pPr>
        <w:spacing w:line="216" w:lineRule="auto"/>
        <w:jc w:val="center"/>
        <w:rPr>
          <w:sz w:val="20"/>
        </w:rPr>
        <w:sectPr w:rsidR="004D5090">
          <w:pgSz w:w="12240" w:h="15840"/>
          <w:pgMar w:top="1340" w:right="1120" w:bottom="280" w:left="1340" w:header="720" w:footer="720" w:gutter="0"/>
          <w:cols w:space="720"/>
        </w:sectPr>
      </w:pPr>
    </w:p>
    <w:p w14:paraId="486B1510" w14:textId="77777777" w:rsidR="004D5090" w:rsidRDefault="008F6876">
      <w:pPr>
        <w:pStyle w:val="Heading1"/>
        <w:spacing w:before="75"/>
      </w:pPr>
      <w:r>
        <w:lastRenderedPageBreak/>
        <w:t>NTE Segment—Facility Specific Information Definition Table Set ID=1</w:t>
      </w:r>
    </w:p>
    <w:p w14:paraId="4F13F136" w14:textId="77777777" w:rsidR="004D5090" w:rsidRDefault="004D5090">
      <w:pPr>
        <w:pStyle w:val="BodyText"/>
        <w:spacing w:before="8"/>
        <w:rPr>
          <w:b/>
          <w:sz w:val="20"/>
        </w:rPr>
      </w:pPr>
    </w:p>
    <w:p w14:paraId="4B197BC2" w14:textId="77777777" w:rsidR="004D5090" w:rsidRDefault="008F6876">
      <w:pPr>
        <w:pStyle w:val="BodyText"/>
        <w:spacing w:before="1" w:line="216" w:lineRule="auto"/>
        <w:ind w:left="820" w:right="574"/>
      </w:pPr>
      <w:r>
        <w:t>The NOTES AND COMMENTS field contains information related to the institution or facility which originated the message. The TX (Text field) Data type uses the escape sequence, \F\, as a field separator, and the escape sequence, \S\, as a component separator.</w:t>
      </w:r>
    </w:p>
    <w:p w14:paraId="2BADA4D5" w14:textId="77777777" w:rsidR="004D5090" w:rsidRDefault="004D5090">
      <w:pPr>
        <w:pStyle w:val="BodyText"/>
        <w:spacing w:before="5"/>
        <w:rPr>
          <w:sz w:val="21"/>
        </w:rPr>
      </w:pPr>
    </w:p>
    <w:p w14:paraId="3F9953AC" w14:textId="77777777" w:rsidR="004D5090" w:rsidRDefault="008F6876">
      <w:pPr>
        <w:pStyle w:val="BodyText"/>
        <w:spacing w:line="216" w:lineRule="auto"/>
        <w:ind w:left="820" w:right="782"/>
      </w:pPr>
      <w:r>
        <w:t>The information in the table below describes the components encoded in the NOTES AND COMMENTS text field of the Facility NTE segment: Set ID=1</w:t>
      </w:r>
    </w:p>
    <w:p w14:paraId="782BD495" w14:textId="77777777" w:rsidR="004D5090" w:rsidRDefault="004D5090">
      <w:pPr>
        <w:pStyle w:val="BodyText"/>
        <w:spacing w:before="8"/>
        <w:rPr>
          <w:sz w:val="20"/>
        </w:rPr>
      </w:pPr>
    </w:p>
    <w:tbl>
      <w:tblPr>
        <w:tblW w:w="0" w:type="auto"/>
        <w:tblInd w:w="388" w:type="dxa"/>
        <w:tblLayout w:type="fixed"/>
        <w:tblCellMar>
          <w:left w:w="0" w:type="dxa"/>
          <w:right w:w="0" w:type="dxa"/>
        </w:tblCellMar>
        <w:tblLook w:val="01E0" w:firstRow="1" w:lastRow="1" w:firstColumn="1" w:lastColumn="1" w:noHBand="0" w:noVBand="0"/>
      </w:tblPr>
      <w:tblGrid>
        <w:gridCol w:w="856"/>
        <w:gridCol w:w="795"/>
        <w:gridCol w:w="662"/>
        <w:gridCol w:w="749"/>
        <w:gridCol w:w="762"/>
        <w:gridCol w:w="4723"/>
      </w:tblGrid>
      <w:tr w:rsidR="004D5090" w14:paraId="5AC6F682" w14:textId="77777777">
        <w:trPr>
          <w:trHeight w:val="266"/>
        </w:trPr>
        <w:tc>
          <w:tcPr>
            <w:tcW w:w="856" w:type="dxa"/>
            <w:tcBorders>
              <w:bottom w:val="single" w:sz="6" w:space="0" w:color="000000"/>
            </w:tcBorders>
          </w:tcPr>
          <w:p w14:paraId="448755EF" w14:textId="77777777" w:rsidR="004D5090" w:rsidRDefault="008F6876">
            <w:pPr>
              <w:pStyle w:val="TableParagraph"/>
              <w:spacing w:line="246" w:lineRule="exact"/>
              <w:ind w:left="79"/>
              <w:rPr>
                <w:sz w:val="24"/>
              </w:rPr>
            </w:pPr>
            <w:r>
              <w:rPr>
                <w:sz w:val="24"/>
              </w:rPr>
              <w:t>SEQ#</w:t>
            </w:r>
          </w:p>
        </w:tc>
        <w:tc>
          <w:tcPr>
            <w:tcW w:w="795" w:type="dxa"/>
            <w:tcBorders>
              <w:bottom w:val="single" w:sz="6" w:space="0" w:color="000000"/>
            </w:tcBorders>
          </w:tcPr>
          <w:p w14:paraId="16F88AC4" w14:textId="77777777" w:rsidR="004D5090" w:rsidRDefault="008F6876">
            <w:pPr>
              <w:pStyle w:val="TableParagraph"/>
              <w:spacing w:line="246" w:lineRule="exact"/>
              <w:ind w:left="202"/>
              <w:rPr>
                <w:sz w:val="24"/>
              </w:rPr>
            </w:pPr>
            <w:r>
              <w:rPr>
                <w:sz w:val="24"/>
              </w:rPr>
              <w:t>LEN</w:t>
            </w:r>
          </w:p>
        </w:tc>
        <w:tc>
          <w:tcPr>
            <w:tcW w:w="662" w:type="dxa"/>
            <w:tcBorders>
              <w:bottom w:val="single" w:sz="6" w:space="0" w:color="000000"/>
            </w:tcBorders>
          </w:tcPr>
          <w:p w14:paraId="57F04BFB" w14:textId="77777777" w:rsidR="004D5090" w:rsidRDefault="008F6876">
            <w:pPr>
              <w:pStyle w:val="TableParagraph"/>
              <w:spacing w:line="246" w:lineRule="exact"/>
              <w:ind w:left="81" w:right="167"/>
              <w:jc w:val="center"/>
              <w:rPr>
                <w:sz w:val="24"/>
              </w:rPr>
            </w:pPr>
            <w:r>
              <w:rPr>
                <w:sz w:val="24"/>
              </w:rPr>
              <w:t>DT</w:t>
            </w:r>
          </w:p>
        </w:tc>
        <w:tc>
          <w:tcPr>
            <w:tcW w:w="749" w:type="dxa"/>
            <w:tcBorders>
              <w:bottom w:val="single" w:sz="6" w:space="0" w:color="000000"/>
            </w:tcBorders>
          </w:tcPr>
          <w:p w14:paraId="389FC0AA" w14:textId="77777777" w:rsidR="004D5090" w:rsidRDefault="008F6876">
            <w:pPr>
              <w:pStyle w:val="TableParagraph"/>
              <w:spacing w:line="246" w:lineRule="exact"/>
              <w:ind w:left="185"/>
              <w:rPr>
                <w:sz w:val="24"/>
              </w:rPr>
            </w:pPr>
            <w:r>
              <w:rPr>
                <w:sz w:val="24"/>
              </w:rPr>
              <w:t>R/O</w:t>
            </w:r>
          </w:p>
        </w:tc>
        <w:tc>
          <w:tcPr>
            <w:tcW w:w="762" w:type="dxa"/>
            <w:tcBorders>
              <w:bottom w:val="single" w:sz="6" w:space="0" w:color="000000"/>
            </w:tcBorders>
          </w:tcPr>
          <w:p w14:paraId="63AF037C" w14:textId="77777777" w:rsidR="004D5090" w:rsidRDefault="008F6876">
            <w:pPr>
              <w:pStyle w:val="TableParagraph"/>
              <w:spacing w:line="246" w:lineRule="exact"/>
              <w:ind w:left="156"/>
              <w:rPr>
                <w:sz w:val="24"/>
              </w:rPr>
            </w:pPr>
            <w:r>
              <w:rPr>
                <w:sz w:val="24"/>
              </w:rPr>
              <w:t>RP/#</w:t>
            </w:r>
          </w:p>
        </w:tc>
        <w:tc>
          <w:tcPr>
            <w:tcW w:w="4723" w:type="dxa"/>
            <w:tcBorders>
              <w:bottom w:val="single" w:sz="6" w:space="0" w:color="000000"/>
            </w:tcBorders>
          </w:tcPr>
          <w:p w14:paraId="4C25A20F" w14:textId="77777777" w:rsidR="004D5090" w:rsidRDefault="008F6876">
            <w:pPr>
              <w:pStyle w:val="TableParagraph"/>
              <w:spacing w:line="246" w:lineRule="exact"/>
              <w:ind w:left="114"/>
              <w:rPr>
                <w:sz w:val="24"/>
              </w:rPr>
            </w:pPr>
            <w:r>
              <w:rPr>
                <w:sz w:val="24"/>
              </w:rPr>
              <w:t>Element Name in Notes and Comments</w:t>
            </w:r>
          </w:p>
        </w:tc>
      </w:tr>
      <w:tr w:rsidR="004D5090" w14:paraId="4F44545F" w14:textId="77777777">
        <w:trPr>
          <w:trHeight w:val="445"/>
        </w:trPr>
        <w:tc>
          <w:tcPr>
            <w:tcW w:w="856" w:type="dxa"/>
            <w:tcBorders>
              <w:top w:val="single" w:sz="6" w:space="0" w:color="000000"/>
            </w:tcBorders>
          </w:tcPr>
          <w:p w14:paraId="1DEBC9FF" w14:textId="77777777" w:rsidR="004D5090" w:rsidRDefault="008F6876">
            <w:pPr>
              <w:pStyle w:val="TableParagraph"/>
              <w:spacing w:before="179" w:line="247" w:lineRule="exact"/>
              <w:ind w:left="79"/>
              <w:rPr>
                <w:sz w:val="24"/>
              </w:rPr>
            </w:pPr>
            <w:r>
              <w:rPr>
                <w:sz w:val="24"/>
              </w:rPr>
              <w:t>1</w:t>
            </w:r>
          </w:p>
        </w:tc>
        <w:tc>
          <w:tcPr>
            <w:tcW w:w="795" w:type="dxa"/>
            <w:tcBorders>
              <w:top w:val="single" w:sz="6" w:space="0" w:color="000000"/>
            </w:tcBorders>
          </w:tcPr>
          <w:p w14:paraId="79B0FD45" w14:textId="77777777" w:rsidR="004D5090" w:rsidRDefault="008F6876">
            <w:pPr>
              <w:pStyle w:val="TableParagraph"/>
              <w:spacing w:before="179" w:line="247" w:lineRule="exact"/>
              <w:ind w:left="202"/>
              <w:rPr>
                <w:sz w:val="24"/>
              </w:rPr>
            </w:pPr>
            <w:r>
              <w:rPr>
                <w:sz w:val="24"/>
              </w:rPr>
              <w:t>40</w:t>
            </w:r>
          </w:p>
        </w:tc>
        <w:tc>
          <w:tcPr>
            <w:tcW w:w="662" w:type="dxa"/>
            <w:tcBorders>
              <w:top w:val="single" w:sz="6" w:space="0" w:color="000000"/>
            </w:tcBorders>
          </w:tcPr>
          <w:p w14:paraId="15F144C4" w14:textId="77777777" w:rsidR="004D5090" w:rsidRDefault="008F6876">
            <w:pPr>
              <w:pStyle w:val="TableParagraph"/>
              <w:spacing w:before="179" w:line="247" w:lineRule="exact"/>
              <w:ind w:left="44" w:right="167"/>
              <w:jc w:val="center"/>
              <w:rPr>
                <w:sz w:val="24"/>
              </w:rPr>
            </w:pPr>
            <w:r>
              <w:rPr>
                <w:sz w:val="24"/>
              </w:rPr>
              <w:t>ST</w:t>
            </w:r>
          </w:p>
        </w:tc>
        <w:tc>
          <w:tcPr>
            <w:tcW w:w="749" w:type="dxa"/>
            <w:tcBorders>
              <w:top w:val="single" w:sz="6" w:space="0" w:color="000000"/>
            </w:tcBorders>
          </w:tcPr>
          <w:p w14:paraId="63E7E10D" w14:textId="77777777" w:rsidR="004D5090" w:rsidRDefault="008F6876">
            <w:pPr>
              <w:pStyle w:val="TableParagraph"/>
              <w:spacing w:before="179" w:line="247" w:lineRule="exact"/>
              <w:ind w:left="185"/>
              <w:rPr>
                <w:sz w:val="24"/>
              </w:rPr>
            </w:pPr>
            <w:r>
              <w:rPr>
                <w:sz w:val="24"/>
              </w:rPr>
              <w:t>R</w:t>
            </w:r>
          </w:p>
        </w:tc>
        <w:tc>
          <w:tcPr>
            <w:tcW w:w="762" w:type="dxa"/>
            <w:tcBorders>
              <w:top w:val="single" w:sz="6" w:space="0" w:color="000000"/>
            </w:tcBorders>
          </w:tcPr>
          <w:p w14:paraId="51B1A55C" w14:textId="77777777" w:rsidR="004D5090" w:rsidRDefault="004D5090">
            <w:pPr>
              <w:pStyle w:val="TableParagraph"/>
            </w:pPr>
          </w:p>
        </w:tc>
        <w:tc>
          <w:tcPr>
            <w:tcW w:w="4723" w:type="dxa"/>
            <w:tcBorders>
              <w:top w:val="single" w:sz="6" w:space="0" w:color="000000"/>
            </w:tcBorders>
          </w:tcPr>
          <w:p w14:paraId="27219B02" w14:textId="77777777" w:rsidR="004D5090" w:rsidRDefault="008F6876">
            <w:pPr>
              <w:pStyle w:val="TableParagraph"/>
              <w:spacing w:before="179" w:line="247" w:lineRule="exact"/>
              <w:ind w:left="114"/>
              <w:rPr>
                <w:sz w:val="24"/>
              </w:rPr>
            </w:pPr>
            <w:r>
              <w:rPr>
                <w:sz w:val="24"/>
              </w:rPr>
              <w:t>Pharmacy Division Data</w:t>
            </w:r>
          </w:p>
        </w:tc>
      </w:tr>
      <w:tr w:rsidR="004D5090" w14:paraId="18383450" w14:textId="77777777">
        <w:trPr>
          <w:trHeight w:val="248"/>
        </w:trPr>
        <w:tc>
          <w:tcPr>
            <w:tcW w:w="856" w:type="dxa"/>
          </w:tcPr>
          <w:p w14:paraId="0B65A6A4" w14:textId="77777777" w:rsidR="004D5090" w:rsidRDefault="008F6876">
            <w:pPr>
              <w:pStyle w:val="TableParagraph"/>
              <w:spacing w:line="229" w:lineRule="exact"/>
              <w:ind w:left="79"/>
              <w:rPr>
                <w:sz w:val="24"/>
              </w:rPr>
            </w:pPr>
            <w:r>
              <w:rPr>
                <w:sz w:val="24"/>
              </w:rPr>
              <w:t>2</w:t>
            </w:r>
          </w:p>
        </w:tc>
        <w:tc>
          <w:tcPr>
            <w:tcW w:w="795" w:type="dxa"/>
          </w:tcPr>
          <w:p w14:paraId="55B6AB28" w14:textId="77777777" w:rsidR="004D5090" w:rsidRDefault="008F6876">
            <w:pPr>
              <w:pStyle w:val="TableParagraph"/>
              <w:spacing w:line="229" w:lineRule="exact"/>
              <w:ind w:left="202"/>
              <w:rPr>
                <w:sz w:val="24"/>
              </w:rPr>
            </w:pPr>
            <w:r>
              <w:rPr>
                <w:sz w:val="24"/>
              </w:rPr>
              <w:t>106</w:t>
            </w:r>
          </w:p>
        </w:tc>
        <w:tc>
          <w:tcPr>
            <w:tcW w:w="662" w:type="dxa"/>
          </w:tcPr>
          <w:p w14:paraId="5BD1059B" w14:textId="77777777" w:rsidR="004D5090" w:rsidRDefault="008F6876">
            <w:pPr>
              <w:pStyle w:val="TableParagraph"/>
              <w:spacing w:line="229" w:lineRule="exact"/>
              <w:ind w:left="108" w:right="167"/>
              <w:jc w:val="center"/>
              <w:rPr>
                <w:sz w:val="24"/>
              </w:rPr>
            </w:pPr>
            <w:r>
              <w:rPr>
                <w:sz w:val="24"/>
              </w:rPr>
              <w:t>AD</w:t>
            </w:r>
          </w:p>
        </w:tc>
        <w:tc>
          <w:tcPr>
            <w:tcW w:w="749" w:type="dxa"/>
          </w:tcPr>
          <w:p w14:paraId="7CD0F09C" w14:textId="77777777" w:rsidR="004D5090" w:rsidRDefault="008F6876">
            <w:pPr>
              <w:pStyle w:val="TableParagraph"/>
              <w:spacing w:line="229" w:lineRule="exact"/>
              <w:ind w:left="185"/>
              <w:rPr>
                <w:sz w:val="24"/>
              </w:rPr>
            </w:pPr>
            <w:r>
              <w:rPr>
                <w:sz w:val="24"/>
              </w:rPr>
              <w:t>R</w:t>
            </w:r>
          </w:p>
        </w:tc>
        <w:tc>
          <w:tcPr>
            <w:tcW w:w="762" w:type="dxa"/>
          </w:tcPr>
          <w:p w14:paraId="76AB80B0" w14:textId="77777777" w:rsidR="004D5090" w:rsidRDefault="004D5090">
            <w:pPr>
              <w:pStyle w:val="TableParagraph"/>
              <w:rPr>
                <w:sz w:val="18"/>
              </w:rPr>
            </w:pPr>
          </w:p>
        </w:tc>
        <w:tc>
          <w:tcPr>
            <w:tcW w:w="4723" w:type="dxa"/>
          </w:tcPr>
          <w:p w14:paraId="2C74CF0F" w14:textId="77777777" w:rsidR="004D5090" w:rsidRDefault="008F6876">
            <w:pPr>
              <w:pStyle w:val="TableParagraph"/>
              <w:spacing w:line="229" w:lineRule="exact"/>
              <w:ind w:left="114"/>
              <w:rPr>
                <w:sz w:val="24"/>
              </w:rPr>
            </w:pPr>
            <w:r>
              <w:rPr>
                <w:sz w:val="24"/>
              </w:rPr>
              <w:t>Address</w:t>
            </w:r>
          </w:p>
        </w:tc>
      </w:tr>
      <w:tr w:rsidR="004D5090" w14:paraId="61811E15" w14:textId="77777777">
        <w:trPr>
          <w:trHeight w:val="257"/>
        </w:trPr>
        <w:tc>
          <w:tcPr>
            <w:tcW w:w="856" w:type="dxa"/>
          </w:tcPr>
          <w:p w14:paraId="3F3BADF0" w14:textId="77777777" w:rsidR="004D5090" w:rsidRDefault="008F6876">
            <w:pPr>
              <w:pStyle w:val="TableParagraph"/>
              <w:spacing w:line="238" w:lineRule="exact"/>
              <w:ind w:left="79"/>
              <w:rPr>
                <w:sz w:val="24"/>
              </w:rPr>
            </w:pPr>
            <w:r>
              <w:rPr>
                <w:sz w:val="24"/>
              </w:rPr>
              <w:t>3</w:t>
            </w:r>
          </w:p>
        </w:tc>
        <w:tc>
          <w:tcPr>
            <w:tcW w:w="795" w:type="dxa"/>
          </w:tcPr>
          <w:p w14:paraId="6F8CB7F6" w14:textId="77777777" w:rsidR="004D5090" w:rsidRDefault="008F6876">
            <w:pPr>
              <w:pStyle w:val="TableParagraph"/>
              <w:spacing w:line="238" w:lineRule="exact"/>
              <w:ind w:left="202"/>
              <w:rPr>
                <w:sz w:val="24"/>
              </w:rPr>
            </w:pPr>
            <w:r>
              <w:rPr>
                <w:sz w:val="24"/>
              </w:rPr>
              <w:t>40</w:t>
            </w:r>
          </w:p>
        </w:tc>
        <w:tc>
          <w:tcPr>
            <w:tcW w:w="662" w:type="dxa"/>
          </w:tcPr>
          <w:p w14:paraId="047A482A" w14:textId="77777777" w:rsidR="004D5090" w:rsidRDefault="008F6876">
            <w:pPr>
              <w:pStyle w:val="TableParagraph"/>
              <w:spacing w:line="238" w:lineRule="exact"/>
              <w:ind w:left="82" w:right="167"/>
              <w:jc w:val="center"/>
              <w:rPr>
                <w:sz w:val="24"/>
              </w:rPr>
            </w:pPr>
            <w:r>
              <w:rPr>
                <w:sz w:val="24"/>
              </w:rPr>
              <w:t>TN</w:t>
            </w:r>
          </w:p>
        </w:tc>
        <w:tc>
          <w:tcPr>
            <w:tcW w:w="749" w:type="dxa"/>
          </w:tcPr>
          <w:p w14:paraId="622F2708" w14:textId="77777777" w:rsidR="004D5090" w:rsidRDefault="004D5090">
            <w:pPr>
              <w:pStyle w:val="TableParagraph"/>
              <w:rPr>
                <w:sz w:val="18"/>
              </w:rPr>
            </w:pPr>
          </w:p>
        </w:tc>
        <w:tc>
          <w:tcPr>
            <w:tcW w:w="762" w:type="dxa"/>
          </w:tcPr>
          <w:p w14:paraId="45F94B74" w14:textId="77777777" w:rsidR="004D5090" w:rsidRDefault="004D5090">
            <w:pPr>
              <w:pStyle w:val="TableParagraph"/>
              <w:rPr>
                <w:sz w:val="18"/>
              </w:rPr>
            </w:pPr>
          </w:p>
        </w:tc>
        <w:tc>
          <w:tcPr>
            <w:tcW w:w="4723" w:type="dxa"/>
          </w:tcPr>
          <w:p w14:paraId="07D06A0D" w14:textId="77777777" w:rsidR="004D5090" w:rsidRDefault="008F6876">
            <w:pPr>
              <w:pStyle w:val="TableParagraph"/>
              <w:spacing w:line="238" w:lineRule="exact"/>
              <w:ind w:left="114"/>
              <w:rPr>
                <w:sz w:val="24"/>
              </w:rPr>
            </w:pPr>
            <w:r>
              <w:rPr>
                <w:sz w:val="24"/>
              </w:rPr>
              <w:t>Phone number</w:t>
            </w:r>
          </w:p>
        </w:tc>
      </w:tr>
    </w:tbl>
    <w:p w14:paraId="316BEFA9" w14:textId="77777777" w:rsidR="004D5090" w:rsidRDefault="008F6876">
      <w:pPr>
        <w:pStyle w:val="Heading1"/>
        <w:spacing w:before="225"/>
      </w:pPr>
      <w:r>
        <w:t>Example</w:t>
      </w:r>
    </w:p>
    <w:p w14:paraId="14D5ECAE" w14:textId="77777777" w:rsidR="004D5090" w:rsidRDefault="004D5090">
      <w:pPr>
        <w:pStyle w:val="BodyText"/>
        <w:spacing w:before="6"/>
        <w:rPr>
          <w:b/>
          <w:sz w:val="21"/>
        </w:rPr>
      </w:pPr>
    </w:p>
    <w:p w14:paraId="6DE59138" w14:textId="77777777" w:rsidR="004D5090" w:rsidRDefault="008F6876">
      <w:pPr>
        <w:spacing w:line="216" w:lineRule="auto"/>
        <w:ind w:left="100" w:right="556"/>
        <w:rPr>
          <w:rFonts w:ascii="Courier New"/>
          <w:sz w:val="20"/>
        </w:rPr>
      </w:pPr>
      <w:r>
        <w:rPr>
          <w:rFonts w:ascii="Courier New"/>
          <w:sz w:val="20"/>
        </w:rPr>
        <w:t>NTE|1||Site#\S\Division Name\S\Institution\F\Street Address\S\Other Street\S\City\S\State Abbrev.\S\ZIP code (99999 or 99999-9999)\F\Phone (999) 999-9999</w:t>
      </w:r>
    </w:p>
    <w:p w14:paraId="1B011286" w14:textId="77777777" w:rsidR="004D5090" w:rsidRDefault="004D5090">
      <w:pPr>
        <w:pStyle w:val="BodyText"/>
        <w:spacing w:before="1"/>
        <w:rPr>
          <w:rFonts w:ascii="Courier New"/>
          <w:sz w:val="21"/>
        </w:rPr>
      </w:pPr>
    </w:p>
    <w:p w14:paraId="133057DA" w14:textId="77777777" w:rsidR="004D5090" w:rsidRDefault="008F6876">
      <w:pPr>
        <w:pStyle w:val="BodyText"/>
        <w:spacing w:line="216" w:lineRule="auto"/>
        <w:ind w:left="820" w:right="449"/>
      </w:pPr>
      <w:r>
        <w:t>This required segment, NTE|1|, is a single occurrence for each Batch of data and will always follow the Batch Header Segment (BHS|)</w:t>
      </w:r>
    </w:p>
    <w:p w14:paraId="40A71060" w14:textId="77777777" w:rsidR="004D5090" w:rsidRDefault="008F6876">
      <w:pPr>
        <w:pStyle w:val="BodyText"/>
        <w:spacing w:before="227"/>
        <w:ind w:left="820"/>
      </w:pPr>
      <w:r>
        <w:t>Description of Components of the data elements</w:t>
      </w:r>
    </w:p>
    <w:p w14:paraId="642C05F8" w14:textId="77777777" w:rsidR="004D5090" w:rsidRDefault="004D5090">
      <w:pPr>
        <w:pStyle w:val="BodyText"/>
        <w:spacing w:before="2"/>
        <w:rPr>
          <w:sz w:val="21"/>
        </w:rPr>
      </w:pPr>
    </w:p>
    <w:p w14:paraId="07EDE5CC" w14:textId="77777777" w:rsidR="004D5090" w:rsidRDefault="008F6876">
      <w:pPr>
        <w:pStyle w:val="ListParagraph"/>
        <w:numPr>
          <w:ilvl w:val="0"/>
          <w:numId w:val="1"/>
        </w:numPr>
        <w:tabs>
          <w:tab w:val="left" w:pos="2080"/>
          <w:tab w:val="left" w:pos="2081"/>
        </w:tabs>
        <w:spacing w:line="216" w:lineRule="auto"/>
        <w:ind w:right="453"/>
        <w:rPr>
          <w:sz w:val="24"/>
        </w:rPr>
      </w:pPr>
      <w:r>
        <w:rPr>
          <w:sz w:val="24"/>
        </w:rPr>
        <w:t>Pharmacy Division Data - Components of this field are the site number, the pharmacy division, and the institution (station</w:t>
      </w:r>
      <w:r>
        <w:rPr>
          <w:spacing w:val="-7"/>
          <w:sz w:val="24"/>
        </w:rPr>
        <w:t xml:space="preserve"> </w:t>
      </w:r>
      <w:r>
        <w:rPr>
          <w:sz w:val="24"/>
        </w:rPr>
        <w:t>number).</w:t>
      </w:r>
    </w:p>
    <w:p w14:paraId="4C956966" w14:textId="77777777" w:rsidR="004D5090" w:rsidRDefault="004D5090">
      <w:pPr>
        <w:pStyle w:val="BodyText"/>
        <w:spacing w:before="6"/>
        <w:rPr>
          <w:sz w:val="21"/>
        </w:rPr>
      </w:pPr>
    </w:p>
    <w:p w14:paraId="1AF940EE" w14:textId="77777777" w:rsidR="004D5090" w:rsidRDefault="008F6876">
      <w:pPr>
        <w:pStyle w:val="ListParagraph"/>
        <w:numPr>
          <w:ilvl w:val="0"/>
          <w:numId w:val="1"/>
        </w:numPr>
        <w:tabs>
          <w:tab w:val="left" w:pos="2080"/>
          <w:tab w:val="left" w:pos="2081"/>
        </w:tabs>
        <w:spacing w:line="216" w:lineRule="auto"/>
        <w:ind w:right="996"/>
        <w:rPr>
          <w:sz w:val="24"/>
        </w:rPr>
      </w:pPr>
      <w:r>
        <w:rPr>
          <w:sz w:val="24"/>
        </w:rPr>
        <w:t>Address - The 1-2 line street address, city, state, and ZIP Code for</w:t>
      </w:r>
      <w:r>
        <w:rPr>
          <w:spacing w:val="-12"/>
          <w:sz w:val="24"/>
        </w:rPr>
        <w:t xml:space="preserve"> </w:t>
      </w:r>
      <w:r>
        <w:rPr>
          <w:sz w:val="24"/>
        </w:rPr>
        <w:t>the pharmacy</w:t>
      </w:r>
      <w:r>
        <w:rPr>
          <w:spacing w:val="-5"/>
          <w:sz w:val="24"/>
        </w:rPr>
        <w:t xml:space="preserve"> </w:t>
      </w:r>
      <w:r>
        <w:rPr>
          <w:sz w:val="24"/>
        </w:rPr>
        <w:t>division.</w:t>
      </w:r>
    </w:p>
    <w:p w14:paraId="673C99E3" w14:textId="77777777" w:rsidR="004D5090" w:rsidRDefault="008F6876">
      <w:pPr>
        <w:pStyle w:val="ListParagraph"/>
        <w:numPr>
          <w:ilvl w:val="0"/>
          <w:numId w:val="1"/>
        </w:numPr>
        <w:tabs>
          <w:tab w:val="left" w:pos="2080"/>
          <w:tab w:val="left" w:pos="2081"/>
        </w:tabs>
        <w:spacing w:before="227"/>
        <w:ind w:hanging="901"/>
        <w:rPr>
          <w:sz w:val="24"/>
        </w:rPr>
      </w:pPr>
      <w:r>
        <w:rPr>
          <w:sz w:val="24"/>
        </w:rPr>
        <w:t>Phone - The telephone number of the pharmacy</w:t>
      </w:r>
      <w:r>
        <w:rPr>
          <w:spacing w:val="-13"/>
          <w:sz w:val="24"/>
        </w:rPr>
        <w:t xml:space="preserve"> </w:t>
      </w:r>
      <w:r>
        <w:rPr>
          <w:sz w:val="24"/>
        </w:rPr>
        <w:t>division.</w:t>
      </w:r>
    </w:p>
    <w:p w14:paraId="1AE898D8" w14:textId="77777777" w:rsidR="004D5090" w:rsidRDefault="008F6876">
      <w:pPr>
        <w:pStyle w:val="Heading1"/>
        <w:tabs>
          <w:tab w:val="left" w:pos="5861"/>
        </w:tabs>
      </w:pPr>
      <w:r>
        <w:t>RF Patient Instruction NTE Segment</w:t>
      </w:r>
      <w:r>
        <w:rPr>
          <w:spacing w:val="-8"/>
        </w:rPr>
        <w:t xml:space="preserve"> </w:t>
      </w:r>
      <w:r>
        <w:t>Definition</w:t>
      </w:r>
      <w:r>
        <w:rPr>
          <w:spacing w:val="-1"/>
        </w:rPr>
        <w:t xml:space="preserve"> </w:t>
      </w:r>
      <w:r>
        <w:t>Table</w:t>
      </w:r>
      <w:r>
        <w:tab/>
        <w:t>Set ID=2</w:t>
      </w:r>
    </w:p>
    <w:p w14:paraId="683C6837" w14:textId="77777777" w:rsidR="004D5090" w:rsidRDefault="004D5090">
      <w:pPr>
        <w:pStyle w:val="BodyText"/>
        <w:spacing w:before="7" w:after="1"/>
        <w:rPr>
          <w:b/>
          <w:sz w:val="19"/>
        </w:rPr>
      </w:pPr>
    </w:p>
    <w:tbl>
      <w:tblPr>
        <w:tblW w:w="0" w:type="auto"/>
        <w:tblInd w:w="388" w:type="dxa"/>
        <w:tblLayout w:type="fixed"/>
        <w:tblCellMar>
          <w:left w:w="0" w:type="dxa"/>
          <w:right w:w="0" w:type="dxa"/>
        </w:tblCellMar>
        <w:tblLook w:val="01E0" w:firstRow="1" w:lastRow="1" w:firstColumn="1" w:lastColumn="1" w:noHBand="0" w:noVBand="0"/>
      </w:tblPr>
      <w:tblGrid>
        <w:gridCol w:w="856"/>
        <w:gridCol w:w="795"/>
        <w:gridCol w:w="648"/>
        <w:gridCol w:w="761"/>
        <w:gridCol w:w="760"/>
        <w:gridCol w:w="4721"/>
      </w:tblGrid>
      <w:tr w:rsidR="004D5090" w14:paraId="3811A890" w14:textId="77777777">
        <w:trPr>
          <w:trHeight w:val="256"/>
        </w:trPr>
        <w:tc>
          <w:tcPr>
            <w:tcW w:w="856" w:type="dxa"/>
            <w:tcBorders>
              <w:bottom w:val="single" w:sz="6" w:space="0" w:color="000000"/>
            </w:tcBorders>
          </w:tcPr>
          <w:p w14:paraId="7076E656" w14:textId="77777777" w:rsidR="004D5090" w:rsidRDefault="008F6876">
            <w:pPr>
              <w:pStyle w:val="TableParagraph"/>
              <w:spacing w:line="246" w:lineRule="exact"/>
              <w:ind w:left="79"/>
              <w:rPr>
                <w:sz w:val="24"/>
              </w:rPr>
            </w:pPr>
            <w:r>
              <w:rPr>
                <w:sz w:val="24"/>
              </w:rPr>
              <w:t>SEQ#</w:t>
            </w:r>
          </w:p>
        </w:tc>
        <w:tc>
          <w:tcPr>
            <w:tcW w:w="795" w:type="dxa"/>
            <w:tcBorders>
              <w:bottom w:val="single" w:sz="6" w:space="0" w:color="000000"/>
            </w:tcBorders>
          </w:tcPr>
          <w:p w14:paraId="1C6F61B6" w14:textId="77777777" w:rsidR="004D5090" w:rsidRDefault="008F6876">
            <w:pPr>
              <w:pStyle w:val="TableParagraph"/>
              <w:spacing w:line="246" w:lineRule="exact"/>
              <w:ind w:left="202"/>
              <w:rPr>
                <w:sz w:val="24"/>
              </w:rPr>
            </w:pPr>
            <w:r>
              <w:rPr>
                <w:sz w:val="24"/>
              </w:rPr>
              <w:t>LEN</w:t>
            </w:r>
          </w:p>
        </w:tc>
        <w:tc>
          <w:tcPr>
            <w:tcW w:w="648" w:type="dxa"/>
            <w:tcBorders>
              <w:bottom w:val="single" w:sz="6" w:space="0" w:color="000000"/>
            </w:tcBorders>
          </w:tcPr>
          <w:p w14:paraId="78044F51" w14:textId="77777777" w:rsidR="004D5090" w:rsidRDefault="008F6876">
            <w:pPr>
              <w:pStyle w:val="TableParagraph"/>
              <w:spacing w:line="246" w:lineRule="exact"/>
              <w:ind w:left="127"/>
              <w:rPr>
                <w:sz w:val="24"/>
              </w:rPr>
            </w:pPr>
            <w:r>
              <w:rPr>
                <w:sz w:val="24"/>
              </w:rPr>
              <w:t>DT</w:t>
            </w:r>
          </w:p>
        </w:tc>
        <w:tc>
          <w:tcPr>
            <w:tcW w:w="761" w:type="dxa"/>
            <w:tcBorders>
              <w:bottom w:val="single" w:sz="6" w:space="0" w:color="000000"/>
            </w:tcBorders>
          </w:tcPr>
          <w:p w14:paraId="5863CC36" w14:textId="77777777" w:rsidR="004D5090" w:rsidRDefault="008F6876">
            <w:pPr>
              <w:pStyle w:val="TableParagraph"/>
              <w:spacing w:line="246" w:lineRule="exact"/>
              <w:ind w:left="199"/>
              <w:rPr>
                <w:sz w:val="24"/>
              </w:rPr>
            </w:pPr>
            <w:r>
              <w:rPr>
                <w:sz w:val="24"/>
              </w:rPr>
              <w:t>R/O</w:t>
            </w:r>
          </w:p>
        </w:tc>
        <w:tc>
          <w:tcPr>
            <w:tcW w:w="760" w:type="dxa"/>
            <w:tcBorders>
              <w:bottom w:val="single" w:sz="6" w:space="0" w:color="000000"/>
            </w:tcBorders>
          </w:tcPr>
          <w:p w14:paraId="079E2224" w14:textId="77777777" w:rsidR="004D5090" w:rsidRDefault="008F6876">
            <w:pPr>
              <w:pStyle w:val="TableParagraph"/>
              <w:spacing w:line="246" w:lineRule="exact"/>
              <w:ind w:left="158"/>
              <w:rPr>
                <w:sz w:val="24"/>
              </w:rPr>
            </w:pPr>
            <w:r>
              <w:rPr>
                <w:sz w:val="24"/>
              </w:rPr>
              <w:t>RP/#</w:t>
            </w:r>
          </w:p>
        </w:tc>
        <w:tc>
          <w:tcPr>
            <w:tcW w:w="4721" w:type="dxa"/>
            <w:tcBorders>
              <w:bottom w:val="single" w:sz="6" w:space="0" w:color="000000"/>
            </w:tcBorders>
          </w:tcPr>
          <w:p w14:paraId="58906F7B" w14:textId="77777777" w:rsidR="004D5090" w:rsidRDefault="008F6876">
            <w:pPr>
              <w:pStyle w:val="TableParagraph"/>
              <w:spacing w:line="246" w:lineRule="exact"/>
              <w:ind w:left="118"/>
              <w:rPr>
                <w:sz w:val="24"/>
              </w:rPr>
            </w:pPr>
            <w:r>
              <w:rPr>
                <w:sz w:val="24"/>
              </w:rPr>
              <w:t>Element Name in Notes and Comments</w:t>
            </w:r>
          </w:p>
        </w:tc>
      </w:tr>
      <w:tr w:rsidR="004D5090" w14:paraId="26A0726D" w14:textId="77777777">
        <w:trPr>
          <w:trHeight w:val="248"/>
        </w:trPr>
        <w:tc>
          <w:tcPr>
            <w:tcW w:w="856" w:type="dxa"/>
            <w:tcBorders>
              <w:top w:val="single" w:sz="6" w:space="0" w:color="000000"/>
            </w:tcBorders>
          </w:tcPr>
          <w:p w14:paraId="187C5EDA" w14:textId="77777777" w:rsidR="004D5090" w:rsidRDefault="008F6876">
            <w:pPr>
              <w:pStyle w:val="TableParagraph"/>
              <w:spacing w:line="218" w:lineRule="exact"/>
              <w:ind w:left="79"/>
              <w:rPr>
                <w:sz w:val="24"/>
              </w:rPr>
            </w:pPr>
            <w:r>
              <w:rPr>
                <w:sz w:val="24"/>
              </w:rPr>
              <w:t>1</w:t>
            </w:r>
          </w:p>
        </w:tc>
        <w:tc>
          <w:tcPr>
            <w:tcW w:w="795" w:type="dxa"/>
            <w:tcBorders>
              <w:top w:val="single" w:sz="6" w:space="0" w:color="000000"/>
            </w:tcBorders>
          </w:tcPr>
          <w:p w14:paraId="764F900F" w14:textId="77777777" w:rsidR="004D5090" w:rsidRDefault="008F6876">
            <w:pPr>
              <w:pStyle w:val="TableParagraph"/>
              <w:spacing w:line="218" w:lineRule="exact"/>
              <w:ind w:left="202"/>
              <w:rPr>
                <w:sz w:val="24"/>
              </w:rPr>
            </w:pPr>
            <w:r>
              <w:rPr>
                <w:sz w:val="24"/>
              </w:rPr>
              <w:t>4</w:t>
            </w:r>
          </w:p>
        </w:tc>
        <w:tc>
          <w:tcPr>
            <w:tcW w:w="648" w:type="dxa"/>
            <w:tcBorders>
              <w:top w:val="single" w:sz="6" w:space="0" w:color="000000"/>
            </w:tcBorders>
          </w:tcPr>
          <w:p w14:paraId="6556787F" w14:textId="77777777" w:rsidR="004D5090" w:rsidRDefault="008F6876">
            <w:pPr>
              <w:pStyle w:val="TableParagraph"/>
              <w:spacing w:line="218" w:lineRule="exact"/>
              <w:ind w:left="127"/>
              <w:rPr>
                <w:sz w:val="24"/>
              </w:rPr>
            </w:pPr>
            <w:r>
              <w:rPr>
                <w:sz w:val="24"/>
              </w:rPr>
              <w:t>SI</w:t>
            </w:r>
          </w:p>
        </w:tc>
        <w:tc>
          <w:tcPr>
            <w:tcW w:w="761" w:type="dxa"/>
            <w:tcBorders>
              <w:top w:val="single" w:sz="6" w:space="0" w:color="000000"/>
            </w:tcBorders>
          </w:tcPr>
          <w:p w14:paraId="41599374" w14:textId="77777777" w:rsidR="004D5090" w:rsidRDefault="004D5090">
            <w:pPr>
              <w:pStyle w:val="TableParagraph"/>
              <w:rPr>
                <w:sz w:val="16"/>
              </w:rPr>
            </w:pPr>
          </w:p>
        </w:tc>
        <w:tc>
          <w:tcPr>
            <w:tcW w:w="760" w:type="dxa"/>
            <w:tcBorders>
              <w:top w:val="single" w:sz="6" w:space="0" w:color="000000"/>
            </w:tcBorders>
          </w:tcPr>
          <w:p w14:paraId="247A9186" w14:textId="77777777" w:rsidR="004D5090" w:rsidRDefault="004D5090">
            <w:pPr>
              <w:pStyle w:val="TableParagraph"/>
              <w:rPr>
                <w:sz w:val="16"/>
              </w:rPr>
            </w:pPr>
          </w:p>
        </w:tc>
        <w:tc>
          <w:tcPr>
            <w:tcW w:w="4721" w:type="dxa"/>
            <w:tcBorders>
              <w:top w:val="single" w:sz="6" w:space="0" w:color="000000"/>
            </w:tcBorders>
          </w:tcPr>
          <w:p w14:paraId="0D2D86FE" w14:textId="77777777" w:rsidR="004D5090" w:rsidRDefault="008F6876">
            <w:pPr>
              <w:pStyle w:val="TableParagraph"/>
              <w:spacing w:line="218" w:lineRule="exact"/>
              <w:ind w:left="118"/>
              <w:rPr>
                <w:sz w:val="24"/>
              </w:rPr>
            </w:pPr>
            <w:r>
              <w:rPr>
                <w:sz w:val="24"/>
              </w:rPr>
              <w:t>Set ID</w:t>
            </w:r>
          </w:p>
        </w:tc>
      </w:tr>
      <w:tr w:rsidR="004D5090" w14:paraId="59028533" w14:textId="77777777">
        <w:trPr>
          <w:trHeight w:val="257"/>
        </w:trPr>
        <w:tc>
          <w:tcPr>
            <w:tcW w:w="856" w:type="dxa"/>
          </w:tcPr>
          <w:p w14:paraId="74528341" w14:textId="77777777" w:rsidR="004D5090" w:rsidRDefault="008F6876">
            <w:pPr>
              <w:pStyle w:val="TableParagraph"/>
              <w:spacing w:line="238" w:lineRule="exact"/>
              <w:ind w:left="79"/>
              <w:rPr>
                <w:sz w:val="24"/>
              </w:rPr>
            </w:pPr>
            <w:r>
              <w:rPr>
                <w:sz w:val="24"/>
              </w:rPr>
              <w:t>3</w:t>
            </w:r>
          </w:p>
        </w:tc>
        <w:tc>
          <w:tcPr>
            <w:tcW w:w="795" w:type="dxa"/>
          </w:tcPr>
          <w:p w14:paraId="1C8255A4" w14:textId="77777777" w:rsidR="004D5090" w:rsidRDefault="008F6876">
            <w:pPr>
              <w:pStyle w:val="TableParagraph"/>
              <w:spacing w:line="238" w:lineRule="exact"/>
              <w:ind w:left="202"/>
              <w:rPr>
                <w:sz w:val="24"/>
              </w:rPr>
            </w:pPr>
            <w:r>
              <w:rPr>
                <w:sz w:val="24"/>
              </w:rPr>
              <w:t>100</w:t>
            </w:r>
          </w:p>
        </w:tc>
        <w:tc>
          <w:tcPr>
            <w:tcW w:w="648" w:type="dxa"/>
          </w:tcPr>
          <w:p w14:paraId="4F1C4653" w14:textId="77777777" w:rsidR="004D5090" w:rsidRDefault="008F6876">
            <w:pPr>
              <w:pStyle w:val="TableParagraph"/>
              <w:spacing w:line="238" w:lineRule="exact"/>
              <w:ind w:left="127"/>
              <w:rPr>
                <w:sz w:val="24"/>
              </w:rPr>
            </w:pPr>
            <w:r>
              <w:rPr>
                <w:sz w:val="24"/>
              </w:rPr>
              <w:t>ST</w:t>
            </w:r>
          </w:p>
        </w:tc>
        <w:tc>
          <w:tcPr>
            <w:tcW w:w="761" w:type="dxa"/>
          </w:tcPr>
          <w:p w14:paraId="0AC2BE84" w14:textId="77777777" w:rsidR="004D5090" w:rsidRDefault="008F6876">
            <w:pPr>
              <w:pStyle w:val="TableParagraph"/>
              <w:spacing w:line="238" w:lineRule="exact"/>
              <w:ind w:left="199"/>
              <w:rPr>
                <w:sz w:val="24"/>
              </w:rPr>
            </w:pPr>
            <w:r>
              <w:rPr>
                <w:sz w:val="24"/>
              </w:rPr>
              <w:t>R</w:t>
            </w:r>
          </w:p>
        </w:tc>
        <w:tc>
          <w:tcPr>
            <w:tcW w:w="760" w:type="dxa"/>
          </w:tcPr>
          <w:p w14:paraId="6C1371B1" w14:textId="77777777" w:rsidR="004D5090" w:rsidRDefault="004D5090">
            <w:pPr>
              <w:pStyle w:val="TableParagraph"/>
              <w:rPr>
                <w:sz w:val="18"/>
              </w:rPr>
            </w:pPr>
          </w:p>
        </w:tc>
        <w:tc>
          <w:tcPr>
            <w:tcW w:w="4721" w:type="dxa"/>
          </w:tcPr>
          <w:p w14:paraId="40FD85CB" w14:textId="77777777" w:rsidR="004D5090" w:rsidRDefault="008F6876">
            <w:pPr>
              <w:pStyle w:val="TableParagraph"/>
              <w:spacing w:line="238" w:lineRule="exact"/>
              <w:ind w:left="118"/>
              <w:rPr>
                <w:sz w:val="24"/>
              </w:rPr>
            </w:pPr>
            <w:r>
              <w:rPr>
                <w:sz w:val="24"/>
              </w:rPr>
              <w:t>Instruction (refillable)</w:t>
            </w:r>
          </w:p>
        </w:tc>
      </w:tr>
    </w:tbl>
    <w:p w14:paraId="50BCE82B" w14:textId="77777777" w:rsidR="004D5090" w:rsidRDefault="008F6876">
      <w:pPr>
        <w:spacing w:before="226"/>
        <w:ind w:left="100"/>
        <w:rPr>
          <w:b/>
          <w:sz w:val="24"/>
        </w:rPr>
      </w:pPr>
      <w:r>
        <w:rPr>
          <w:b/>
          <w:sz w:val="24"/>
        </w:rPr>
        <w:t>Example</w:t>
      </w:r>
    </w:p>
    <w:p w14:paraId="7A239003" w14:textId="77777777" w:rsidR="004D5090" w:rsidRDefault="004D5090">
      <w:pPr>
        <w:pStyle w:val="BodyText"/>
        <w:spacing w:before="5"/>
        <w:rPr>
          <w:b/>
          <w:sz w:val="21"/>
        </w:rPr>
      </w:pPr>
    </w:p>
    <w:p w14:paraId="4158AD7D" w14:textId="77777777" w:rsidR="004D5090" w:rsidRDefault="008F6876">
      <w:pPr>
        <w:spacing w:line="216" w:lineRule="auto"/>
        <w:ind w:left="100" w:right="1858"/>
        <w:rPr>
          <w:rFonts w:ascii="Courier New"/>
          <w:sz w:val="20"/>
        </w:rPr>
      </w:pPr>
      <w:r>
        <w:rPr>
          <w:rFonts w:ascii="Courier New"/>
          <w:sz w:val="20"/>
        </w:rPr>
        <w:t>NTE|2||The instructions present in this field refer to refillable prescriptions only. This information may b</w:t>
      </w:r>
    </w:p>
    <w:p w14:paraId="02046B8E" w14:textId="77777777" w:rsidR="004D5090" w:rsidRDefault="008F6876">
      <w:pPr>
        <w:spacing w:line="210" w:lineRule="exact"/>
        <w:ind w:left="100"/>
        <w:rPr>
          <w:rFonts w:ascii="Courier New"/>
          <w:sz w:val="20"/>
        </w:rPr>
      </w:pPr>
      <w:r>
        <w:rPr>
          <w:rFonts w:ascii="Courier New"/>
          <w:sz w:val="20"/>
        </w:rPr>
        <w:t>NTE|2||e found in the outpatient site file number 59.</w:t>
      </w:r>
    </w:p>
    <w:p w14:paraId="7E9EE393" w14:textId="77777777" w:rsidR="004D5090" w:rsidRDefault="004D5090">
      <w:pPr>
        <w:pStyle w:val="BodyText"/>
        <w:spacing w:before="6"/>
        <w:rPr>
          <w:rFonts w:ascii="Courier New"/>
          <w:sz w:val="20"/>
        </w:rPr>
      </w:pPr>
    </w:p>
    <w:p w14:paraId="308D7910" w14:textId="77777777" w:rsidR="004D5090" w:rsidRDefault="008F6876">
      <w:pPr>
        <w:pStyle w:val="BodyText"/>
        <w:spacing w:before="1" w:line="216" w:lineRule="auto"/>
        <w:ind w:left="820" w:right="226"/>
      </w:pPr>
      <w:r>
        <w:t>This segment, NTE |2|, may repeat as necessary to include all RF patient instructions and, if present, will always follow the NTE|1| segment.</w:t>
      </w:r>
    </w:p>
    <w:p w14:paraId="3E6A328E" w14:textId="77777777" w:rsidR="004D5090" w:rsidRDefault="008F6876">
      <w:pPr>
        <w:pStyle w:val="BodyText"/>
        <w:spacing w:line="254" w:lineRule="exact"/>
        <w:ind w:left="820"/>
      </w:pPr>
      <w:r>
        <w:t>This is not a required segment and will only be present if data is available.</w:t>
      </w:r>
    </w:p>
    <w:p w14:paraId="0B223FF7" w14:textId="77777777" w:rsidR="004D5090" w:rsidRDefault="004D5090">
      <w:pPr>
        <w:pStyle w:val="BodyText"/>
        <w:rPr>
          <w:sz w:val="20"/>
        </w:rPr>
      </w:pPr>
    </w:p>
    <w:p w14:paraId="3BFC9A0F" w14:textId="77777777" w:rsidR="004D5090" w:rsidRDefault="004D5090">
      <w:pPr>
        <w:pStyle w:val="BodyText"/>
        <w:rPr>
          <w:sz w:val="20"/>
        </w:rPr>
      </w:pPr>
    </w:p>
    <w:p w14:paraId="64AEF52F" w14:textId="77777777" w:rsidR="004D5090" w:rsidRDefault="004D5090">
      <w:pPr>
        <w:pStyle w:val="BodyText"/>
        <w:rPr>
          <w:sz w:val="20"/>
        </w:rPr>
      </w:pPr>
    </w:p>
    <w:p w14:paraId="2700EDB5" w14:textId="77777777" w:rsidR="004D5090" w:rsidRDefault="004D5090">
      <w:pPr>
        <w:pStyle w:val="BodyText"/>
        <w:spacing w:before="2"/>
        <w:rPr>
          <w:sz w:val="28"/>
        </w:rPr>
      </w:pPr>
    </w:p>
    <w:p w14:paraId="69AC063A" w14:textId="77777777" w:rsidR="004D5090" w:rsidRDefault="008F6876">
      <w:pPr>
        <w:tabs>
          <w:tab w:val="left" w:pos="2894"/>
          <w:tab w:val="left" w:pos="8156"/>
        </w:tabs>
        <w:spacing w:before="110" w:line="216" w:lineRule="auto"/>
        <w:ind w:left="4056" w:right="316" w:hanging="3956"/>
        <w:rPr>
          <w:sz w:val="20"/>
        </w:rPr>
      </w:pPr>
      <w:r>
        <w:rPr>
          <w:sz w:val="20"/>
        </w:rPr>
        <w:t>72</w:t>
      </w:r>
      <w:r>
        <w:rPr>
          <w:sz w:val="20"/>
        </w:rPr>
        <w:tab/>
        <w:t>Consolidated Mail Outpatient Pharmacy</w:t>
      </w:r>
      <w:r>
        <w:rPr>
          <w:spacing w:val="-10"/>
          <w:sz w:val="20"/>
        </w:rPr>
        <w:t xml:space="preserve"> </w:t>
      </w:r>
      <w:r>
        <w:rPr>
          <w:sz w:val="20"/>
        </w:rPr>
        <w:t>V.</w:t>
      </w:r>
      <w:r>
        <w:rPr>
          <w:spacing w:val="-2"/>
          <w:sz w:val="20"/>
        </w:rPr>
        <w:t xml:space="preserve"> </w:t>
      </w:r>
      <w:r>
        <w:rPr>
          <w:sz w:val="20"/>
        </w:rPr>
        <w:t>2.0</w:t>
      </w:r>
      <w:r>
        <w:rPr>
          <w:sz w:val="20"/>
        </w:rPr>
        <w:tab/>
        <w:t xml:space="preserve">September </w:t>
      </w:r>
      <w:r>
        <w:rPr>
          <w:spacing w:val="-5"/>
          <w:sz w:val="20"/>
        </w:rPr>
        <w:t xml:space="preserve">2006 </w:t>
      </w:r>
      <w:r>
        <w:rPr>
          <w:sz w:val="20"/>
        </w:rPr>
        <w:t>Technical</w:t>
      </w:r>
      <w:r>
        <w:rPr>
          <w:spacing w:val="-1"/>
          <w:sz w:val="20"/>
        </w:rPr>
        <w:t xml:space="preserve"> </w:t>
      </w:r>
      <w:r>
        <w:rPr>
          <w:sz w:val="20"/>
        </w:rPr>
        <w:t>Manual</w:t>
      </w:r>
    </w:p>
    <w:sectPr w:rsidR="004D5090">
      <w:pgSz w:w="12240" w:h="15840"/>
      <w:pgMar w:top="134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57B41"/>
    <w:multiLevelType w:val="hybridMultilevel"/>
    <w:tmpl w:val="A0848CF0"/>
    <w:lvl w:ilvl="0" w:tplc="40AA0812">
      <w:start w:val="99"/>
      <w:numFmt w:val="decimal"/>
      <w:lvlText w:val="%1"/>
      <w:lvlJc w:val="left"/>
      <w:pPr>
        <w:ind w:left="3600" w:hanging="2780"/>
        <w:jc w:val="right"/>
      </w:pPr>
      <w:rPr>
        <w:rFonts w:ascii="Times New Roman" w:eastAsia="Times New Roman" w:hAnsi="Times New Roman" w:cs="Times New Roman" w:hint="default"/>
        <w:w w:val="100"/>
        <w:sz w:val="24"/>
        <w:szCs w:val="24"/>
        <w:lang w:val="en-US" w:eastAsia="en-US" w:bidi="ar-SA"/>
      </w:rPr>
    </w:lvl>
    <w:lvl w:ilvl="1" w:tplc="10F4E7CA">
      <w:numFmt w:val="bullet"/>
      <w:lvlText w:val="•"/>
      <w:lvlJc w:val="left"/>
      <w:pPr>
        <w:ind w:left="4218" w:hanging="2780"/>
      </w:pPr>
      <w:rPr>
        <w:rFonts w:hint="default"/>
        <w:lang w:val="en-US" w:eastAsia="en-US" w:bidi="ar-SA"/>
      </w:rPr>
    </w:lvl>
    <w:lvl w:ilvl="2" w:tplc="EE5AA214">
      <w:numFmt w:val="bullet"/>
      <w:lvlText w:val="•"/>
      <w:lvlJc w:val="left"/>
      <w:pPr>
        <w:ind w:left="4836" w:hanging="2780"/>
      </w:pPr>
      <w:rPr>
        <w:rFonts w:hint="default"/>
        <w:lang w:val="en-US" w:eastAsia="en-US" w:bidi="ar-SA"/>
      </w:rPr>
    </w:lvl>
    <w:lvl w:ilvl="3" w:tplc="6D62D6AE">
      <w:numFmt w:val="bullet"/>
      <w:lvlText w:val="•"/>
      <w:lvlJc w:val="left"/>
      <w:pPr>
        <w:ind w:left="5454" w:hanging="2780"/>
      </w:pPr>
      <w:rPr>
        <w:rFonts w:hint="default"/>
        <w:lang w:val="en-US" w:eastAsia="en-US" w:bidi="ar-SA"/>
      </w:rPr>
    </w:lvl>
    <w:lvl w:ilvl="4" w:tplc="7ADA696A">
      <w:numFmt w:val="bullet"/>
      <w:lvlText w:val="•"/>
      <w:lvlJc w:val="left"/>
      <w:pPr>
        <w:ind w:left="6072" w:hanging="2780"/>
      </w:pPr>
      <w:rPr>
        <w:rFonts w:hint="default"/>
        <w:lang w:val="en-US" w:eastAsia="en-US" w:bidi="ar-SA"/>
      </w:rPr>
    </w:lvl>
    <w:lvl w:ilvl="5" w:tplc="82BA8FFE">
      <w:numFmt w:val="bullet"/>
      <w:lvlText w:val="•"/>
      <w:lvlJc w:val="left"/>
      <w:pPr>
        <w:ind w:left="6690" w:hanging="2780"/>
      </w:pPr>
      <w:rPr>
        <w:rFonts w:hint="default"/>
        <w:lang w:val="en-US" w:eastAsia="en-US" w:bidi="ar-SA"/>
      </w:rPr>
    </w:lvl>
    <w:lvl w:ilvl="6" w:tplc="6C08E682">
      <w:numFmt w:val="bullet"/>
      <w:lvlText w:val="•"/>
      <w:lvlJc w:val="left"/>
      <w:pPr>
        <w:ind w:left="7308" w:hanging="2780"/>
      </w:pPr>
      <w:rPr>
        <w:rFonts w:hint="default"/>
        <w:lang w:val="en-US" w:eastAsia="en-US" w:bidi="ar-SA"/>
      </w:rPr>
    </w:lvl>
    <w:lvl w:ilvl="7" w:tplc="85322F2E">
      <w:numFmt w:val="bullet"/>
      <w:lvlText w:val="•"/>
      <w:lvlJc w:val="left"/>
      <w:pPr>
        <w:ind w:left="7926" w:hanging="2780"/>
      </w:pPr>
      <w:rPr>
        <w:rFonts w:hint="default"/>
        <w:lang w:val="en-US" w:eastAsia="en-US" w:bidi="ar-SA"/>
      </w:rPr>
    </w:lvl>
    <w:lvl w:ilvl="8" w:tplc="78223154">
      <w:numFmt w:val="bullet"/>
      <w:lvlText w:val="•"/>
      <w:lvlJc w:val="left"/>
      <w:pPr>
        <w:ind w:left="8544" w:hanging="2780"/>
      </w:pPr>
      <w:rPr>
        <w:rFonts w:hint="default"/>
        <w:lang w:val="en-US" w:eastAsia="en-US" w:bidi="ar-SA"/>
      </w:rPr>
    </w:lvl>
  </w:abstractNum>
  <w:abstractNum w:abstractNumId="1" w15:restartNumberingAfterBreak="0">
    <w:nsid w:val="73EB486B"/>
    <w:multiLevelType w:val="hybridMultilevel"/>
    <w:tmpl w:val="DA0EF7FE"/>
    <w:lvl w:ilvl="0" w:tplc="580E99DC">
      <w:numFmt w:val="bullet"/>
      <w:lvlText w:val="•"/>
      <w:lvlJc w:val="left"/>
      <w:pPr>
        <w:ind w:left="2080" w:hanging="900"/>
      </w:pPr>
      <w:rPr>
        <w:rFonts w:ascii="Times New Roman" w:eastAsia="Times New Roman" w:hAnsi="Times New Roman" w:cs="Times New Roman" w:hint="default"/>
        <w:w w:val="100"/>
        <w:sz w:val="24"/>
        <w:szCs w:val="24"/>
        <w:lang w:val="en-US" w:eastAsia="en-US" w:bidi="ar-SA"/>
      </w:rPr>
    </w:lvl>
    <w:lvl w:ilvl="1" w:tplc="29760956">
      <w:numFmt w:val="bullet"/>
      <w:lvlText w:val="•"/>
      <w:lvlJc w:val="left"/>
      <w:pPr>
        <w:ind w:left="2850" w:hanging="900"/>
      </w:pPr>
      <w:rPr>
        <w:rFonts w:hint="default"/>
        <w:lang w:val="en-US" w:eastAsia="en-US" w:bidi="ar-SA"/>
      </w:rPr>
    </w:lvl>
    <w:lvl w:ilvl="2" w:tplc="897004A4">
      <w:numFmt w:val="bullet"/>
      <w:lvlText w:val="•"/>
      <w:lvlJc w:val="left"/>
      <w:pPr>
        <w:ind w:left="3620" w:hanging="900"/>
      </w:pPr>
      <w:rPr>
        <w:rFonts w:hint="default"/>
        <w:lang w:val="en-US" w:eastAsia="en-US" w:bidi="ar-SA"/>
      </w:rPr>
    </w:lvl>
    <w:lvl w:ilvl="3" w:tplc="85B280EA">
      <w:numFmt w:val="bullet"/>
      <w:lvlText w:val="•"/>
      <w:lvlJc w:val="left"/>
      <w:pPr>
        <w:ind w:left="4390" w:hanging="900"/>
      </w:pPr>
      <w:rPr>
        <w:rFonts w:hint="default"/>
        <w:lang w:val="en-US" w:eastAsia="en-US" w:bidi="ar-SA"/>
      </w:rPr>
    </w:lvl>
    <w:lvl w:ilvl="4" w:tplc="02C221D0">
      <w:numFmt w:val="bullet"/>
      <w:lvlText w:val="•"/>
      <w:lvlJc w:val="left"/>
      <w:pPr>
        <w:ind w:left="5160" w:hanging="900"/>
      </w:pPr>
      <w:rPr>
        <w:rFonts w:hint="default"/>
        <w:lang w:val="en-US" w:eastAsia="en-US" w:bidi="ar-SA"/>
      </w:rPr>
    </w:lvl>
    <w:lvl w:ilvl="5" w:tplc="801A0B46">
      <w:numFmt w:val="bullet"/>
      <w:lvlText w:val="•"/>
      <w:lvlJc w:val="left"/>
      <w:pPr>
        <w:ind w:left="5930" w:hanging="900"/>
      </w:pPr>
      <w:rPr>
        <w:rFonts w:hint="default"/>
        <w:lang w:val="en-US" w:eastAsia="en-US" w:bidi="ar-SA"/>
      </w:rPr>
    </w:lvl>
    <w:lvl w:ilvl="6" w:tplc="BCD835A8">
      <w:numFmt w:val="bullet"/>
      <w:lvlText w:val="•"/>
      <w:lvlJc w:val="left"/>
      <w:pPr>
        <w:ind w:left="6700" w:hanging="900"/>
      </w:pPr>
      <w:rPr>
        <w:rFonts w:hint="default"/>
        <w:lang w:val="en-US" w:eastAsia="en-US" w:bidi="ar-SA"/>
      </w:rPr>
    </w:lvl>
    <w:lvl w:ilvl="7" w:tplc="F19A6186">
      <w:numFmt w:val="bullet"/>
      <w:lvlText w:val="•"/>
      <w:lvlJc w:val="left"/>
      <w:pPr>
        <w:ind w:left="7470" w:hanging="900"/>
      </w:pPr>
      <w:rPr>
        <w:rFonts w:hint="default"/>
        <w:lang w:val="en-US" w:eastAsia="en-US" w:bidi="ar-SA"/>
      </w:rPr>
    </w:lvl>
    <w:lvl w:ilvl="8" w:tplc="CD1077B0">
      <w:numFmt w:val="bullet"/>
      <w:lvlText w:val="•"/>
      <w:lvlJc w:val="left"/>
      <w:pPr>
        <w:ind w:left="8240" w:hanging="9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D5090"/>
    <w:rsid w:val="004D5090"/>
    <w:rsid w:val="00510902"/>
    <w:rsid w:val="0056777C"/>
    <w:rsid w:val="008F6876"/>
    <w:rsid w:val="00C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EA9960"/>
  <w15:docId w15:val="{6E6D17AC-1769-4170-87A2-5E9619F7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0"/>
      <w:ind w:left="796" w:right="1014" w:firstLine="2"/>
      <w:jc w:val="center"/>
    </w:pPr>
    <w:rPr>
      <w:rFonts w:ascii="Arial" w:eastAsia="Arial" w:hAnsi="Arial" w:cs="Arial"/>
      <w:b/>
      <w:bCs/>
      <w:sz w:val="64"/>
      <w:szCs w:val="64"/>
    </w:rPr>
  </w:style>
  <w:style w:type="paragraph" w:styleId="ListParagraph">
    <w:name w:val="List Paragraph"/>
    <w:basedOn w:val="Normal"/>
    <w:uiPriority w:val="1"/>
    <w:qFormat/>
    <w:pPr>
      <w:ind w:left="2080" w:hanging="9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5368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Department of Veterans Affairs VistA Consolidated Mail Outpatient Pharmacy (CMOP) Technical Manual</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VistA Consolidated Mail Outpatient Pharmacy (CMOP) Technical Manual</dc:title>
  <dc:subject>VistA Consolidated Mail Outpatient Pharmacy (CMOP)</dc:subject>
  <dc:creator>Department of Veterans Affairs, Veterans Health Administration, Office of Information, Health Systems Design and Development</dc:creator>
  <cp:keywords>VistA; Mail Order; Outpatient; Pharmacy; CMOP</cp:keywords>
  <cp:lastModifiedBy>Department of Veterans Affairs</cp:lastModifiedBy>
  <cp:revision>2</cp:revision>
  <dcterms:created xsi:type="dcterms:W3CDTF">2021-08-24T17:54:00Z</dcterms:created>
  <dcterms:modified xsi:type="dcterms:W3CDTF">2021-08-24T17:54:00Z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2010-11-10T00:00:00Z</vt:filetime>
  </property>
  <property fmtid="{D5CDD505-2E9C-101B-9397-08002B2CF9AE}" pid="3" name="Creator">
    <vt:lpwstr>Microsoft® Office Word 2007</vt:lpwstr>
  </property>
  <property fmtid="{D5CDD505-2E9C-101B-9397-08002B2CF9AE}" pid="4" name="LastSaved">
    <vt:filetime>2020-11-18T00:00:00Z</vt:filetime>
  </property>
</Properties>
</file>